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00F" w:rsidRDefault="0090200F" w:rsidP="0090200F">
      <w:pPr>
        <w:jc w:val="center"/>
        <w:rPr>
          <w:rFonts w:ascii="Algerian" w:hAnsi="Algerian" w:cs="Arabic Typesetting"/>
          <w:b/>
          <w:bCs/>
          <w:sz w:val="72"/>
          <w:szCs w:val="72"/>
          <w:rtl/>
        </w:rPr>
      </w:pPr>
      <w:bookmarkStart w:id="0" w:name="_GoBack"/>
      <w:bookmarkEnd w:id="0"/>
    </w:p>
    <w:p w:rsidR="0090200F" w:rsidRDefault="0090200F" w:rsidP="0090200F">
      <w:pPr>
        <w:jc w:val="center"/>
        <w:rPr>
          <w:rFonts w:ascii="Algerian" w:hAnsi="Algerian" w:cs="Arabic Typesetting"/>
          <w:b/>
          <w:bCs/>
          <w:sz w:val="72"/>
          <w:szCs w:val="72"/>
          <w:rtl/>
        </w:rPr>
      </w:pPr>
    </w:p>
    <w:p w:rsidR="0090200F" w:rsidRDefault="0090200F" w:rsidP="0090200F">
      <w:pPr>
        <w:jc w:val="center"/>
        <w:rPr>
          <w:rFonts w:ascii="Algerian" w:hAnsi="Algerian" w:cs="Arabic Typesetting"/>
          <w:b/>
          <w:bCs/>
          <w:sz w:val="72"/>
          <w:szCs w:val="72"/>
          <w:rtl/>
        </w:rPr>
      </w:pPr>
    </w:p>
    <w:p w:rsidR="00B40B77" w:rsidRPr="00C230D8" w:rsidRDefault="0090200F" w:rsidP="0090200F">
      <w:pPr>
        <w:jc w:val="center"/>
        <w:rPr>
          <w:b/>
          <w:bCs/>
          <w:sz w:val="38"/>
          <w:szCs w:val="38"/>
          <w:rtl/>
        </w:rPr>
      </w:pPr>
      <w:r w:rsidRPr="0090200F">
        <w:rPr>
          <w:rFonts w:ascii="Algerian" w:hAnsi="Algerian" w:cs="Arabic Typesetting"/>
          <w:b/>
          <w:bCs/>
          <w:sz w:val="72"/>
          <w:szCs w:val="72"/>
          <w:rtl/>
        </w:rPr>
        <w:t>الخ</w:t>
      </w:r>
      <w:r>
        <w:rPr>
          <w:rFonts w:ascii="Algerian" w:hAnsi="Algerian" w:cs="Arabic Typesetting" w:hint="cs"/>
          <w:b/>
          <w:bCs/>
          <w:sz w:val="72"/>
          <w:szCs w:val="72"/>
          <w:rtl/>
        </w:rPr>
        <w:t>ـــــــــــــ</w:t>
      </w:r>
      <w:r w:rsidRPr="0090200F">
        <w:rPr>
          <w:rFonts w:ascii="Algerian" w:hAnsi="Algerian" w:cs="Arabic Typesetting"/>
          <w:b/>
          <w:bCs/>
          <w:sz w:val="72"/>
          <w:szCs w:val="72"/>
          <w:rtl/>
        </w:rPr>
        <w:t>اتم</w:t>
      </w:r>
      <w:r>
        <w:rPr>
          <w:rFonts w:ascii="Algerian" w:hAnsi="Algerian" w:cs="Arabic Typesetting" w:hint="cs"/>
          <w:b/>
          <w:bCs/>
          <w:sz w:val="72"/>
          <w:szCs w:val="72"/>
          <w:rtl/>
        </w:rPr>
        <w:t>ـــــــــــــــــــــــ</w:t>
      </w:r>
      <w:r w:rsidRPr="0090200F">
        <w:rPr>
          <w:rFonts w:ascii="Algerian" w:hAnsi="Algerian" w:cs="Arabic Typesetting"/>
          <w:b/>
          <w:bCs/>
          <w:sz w:val="72"/>
          <w:szCs w:val="72"/>
          <w:rtl/>
        </w:rPr>
        <w:t>ة</w:t>
      </w:r>
      <w:r>
        <w:rPr>
          <w:b/>
          <w:bCs/>
          <w:sz w:val="38"/>
          <w:szCs w:val="38"/>
          <w:rtl/>
        </w:rPr>
        <w:br w:type="page"/>
      </w:r>
      <w:r w:rsidR="00B40B77" w:rsidRPr="00DD45CD">
        <w:rPr>
          <w:rFonts w:hint="cs"/>
          <w:b/>
          <w:bCs/>
          <w:sz w:val="48"/>
          <w:szCs w:val="48"/>
          <w:rtl/>
        </w:rPr>
        <w:lastRenderedPageBreak/>
        <w:t>الخاتمة</w:t>
      </w:r>
    </w:p>
    <w:p w:rsidR="00B40B77" w:rsidRPr="00C230D8" w:rsidRDefault="00B40B77" w:rsidP="007915F9">
      <w:pPr>
        <w:jc w:val="lowKashida"/>
        <w:rPr>
          <w:sz w:val="38"/>
          <w:szCs w:val="38"/>
          <w:rtl/>
        </w:rPr>
      </w:pPr>
      <w:r w:rsidRPr="00C230D8">
        <w:rPr>
          <w:rFonts w:hint="cs"/>
          <w:sz w:val="38"/>
          <w:szCs w:val="38"/>
          <w:rtl/>
        </w:rPr>
        <w:t>الحمد لله الذي وفقني لإتمام هذه الرسالة</w:t>
      </w:r>
      <w:r w:rsidR="007915F9">
        <w:rPr>
          <w:rFonts w:hint="cs"/>
          <w:sz w:val="38"/>
          <w:szCs w:val="38"/>
          <w:rtl/>
        </w:rPr>
        <w:t xml:space="preserve"> -وأرجو أن أكون قد وفيت بالمطلوب-</w:t>
      </w:r>
      <w:r w:rsidRPr="00C230D8">
        <w:rPr>
          <w:rFonts w:hint="cs"/>
          <w:sz w:val="38"/>
          <w:szCs w:val="38"/>
          <w:rtl/>
        </w:rPr>
        <w:t xml:space="preserve"> </w:t>
      </w:r>
      <w:r w:rsidR="00404B9B" w:rsidRPr="00C230D8">
        <w:rPr>
          <w:rFonts w:hint="cs"/>
          <w:sz w:val="38"/>
          <w:szCs w:val="38"/>
          <w:rtl/>
        </w:rPr>
        <w:t>وأشكره على نعمائه عليّ وعلى عباده الصالحين.</w:t>
      </w:r>
    </w:p>
    <w:p w:rsidR="00AB6DC4" w:rsidRPr="00C230D8" w:rsidRDefault="00B40B77" w:rsidP="00AB6DC4">
      <w:pPr>
        <w:jc w:val="lowKashida"/>
        <w:rPr>
          <w:sz w:val="38"/>
          <w:szCs w:val="38"/>
          <w:rtl/>
        </w:rPr>
      </w:pPr>
      <w:r w:rsidRPr="00C230D8">
        <w:rPr>
          <w:rFonts w:hint="cs"/>
          <w:sz w:val="38"/>
          <w:szCs w:val="38"/>
          <w:rtl/>
        </w:rPr>
        <w:t xml:space="preserve">وأودّ أنْ أذكر في النهاية أهم نتائج البحث، وزبدته في النقاط التالية: </w:t>
      </w:r>
    </w:p>
    <w:p w:rsidR="00C05612" w:rsidRPr="00C230D8" w:rsidRDefault="000D3518" w:rsidP="00D703FB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إن علماء الحفنية قد بذل</w:t>
      </w:r>
      <w:r w:rsidR="00C05612" w:rsidRPr="00C230D8">
        <w:rPr>
          <w:rFonts w:hint="cs"/>
          <w:sz w:val="38"/>
          <w:szCs w:val="38"/>
          <w:rtl/>
        </w:rPr>
        <w:t>وا الجهود الكافية في الر</w:t>
      </w:r>
      <w:r w:rsidRPr="00C230D8">
        <w:rPr>
          <w:rFonts w:hint="cs"/>
          <w:sz w:val="38"/>
          <w:szCs w:val="38"/>
          <w:rtl/>
        </w:rPr>
        <w:t>ّ</w:t>
      </w:r>
      <w:r w:rsidR="00C05612" w:rsidRPr="00C230D8">
        <w:rPr>
          <w:rFonts w:hint="cs"/>
          <w:sz w:val="38"/>
          <w:szCs w:val="38"/>
          <w:rtl/>
        </w:rPr>
        <w:t xml:space="preserve">د على الخوارج </w:t>
      </w:r>
      <w:r w:rsidR="00D703FB">
        <w:rPr>
          <w:rFonts w:hint="cs"/>
          <w:sz w:val="38"/>
          <w:szCs w:val="38"/>
          <w:rtl/>
        </w:rPr>
        <w:t>ب</w:t>
      </w:r>
      <w:r w:rsidR="00C05612" w:rsidRPr="00C230D8">
        <w:rPr>
          <w:rFonts w:hint="cs"/>
          <w:sz w:val="38"/>
          <w:szCs w:val="38"/>
          <w:rtl/>
        </w:rPr>
        <w:t>مختلف فرقهم.</w:t>
      </w:r>
    </w:p>
    <w:p w:rsidR="00C05612" w:rsidRPr="00C230D8" w:rsidRDefault="00C05612" w:rsidP="00C05612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إن</w:t>
      </w:r>
      <w:r w:rsidR="000D3518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 أساس ا</w:t>
      </w:r>
      <w:r w:rsidR="001768DC" w:rsidRPr="00C230D8">
        <w:rPr>
          <w:rFonts w:hint="cs"/>
          <w:sz w:val="38"/>
          <w:szCs w:val="38"/>
          <w:rtl/>
        </w:rPr>
        <w:t>لفتن التي وقعت في الأمة هو الغلو في الدين، حيث إن الخوارج غلوا في بعض مسائل الدين، بينما أهملو الجانب الآخر.</w:t>
      </w:r>
    </w:p>
    <w:p w:rsidR="00182410" w:rsidRPr="00C230D8" w:rsidRDefault="005B614C" w:rsidP="005B614C">
      <w:pPr>
        <w:numPr>
          <w:ilvl w:val="0"/>
          <w:numId w:val="4"/>
        </w:numPr>
        <w:jc w:val="lowKashida"/>
        <w:rPr>
          <w:sz w:val="38"/>
          <w:szCs w:val="38"/>
        </w:rPr>
      </w:pPr>
      <w:r>
        <w:rPr>
          <w:rFonts w:hint="cs"/>
          <w:sz w:val="38"/>
          <w:szCs w:val="38"/>
          <w:rtl/>
        </w:rPr>
        <w:t xml:space="preserve">المذهب الخارجيّ منتشر </w:t>
      </w:r>
      <w:r w:rsidR="00182410" w:rsidRPr="00C230D8">
        <w:rPr>
          <w:rFonts w:hint="cs"/>
          <w:sz w:val="38"/>
          <w:szCs w:val="38"/>
          <w:rtl/>
        </w:rPr>
        <w:t>بقو</w:t>
      </w:r>
      <w:r w:rsidR="000D3518" w:rsidRPr="00C230D8">
        <w:rPr>
          <w:rFonts w:hint="cs"/>
          <w:sz w:val="38"/>
          <w:szCs w:val="38"/>
          <w:rtl/>
        </w:rPr>
        <w:t>ّ</w:t>
      </w:r>
      <w:r w:rsidR="00182410" w:rsidRPr="00C230D8">
        <w:rPr>
          <w:rFonts w:hint="cs"/>
          <w:sz w:val="38"/>
          <w:szCs w:val="38"/>
          <w:rtl/>
        </w:rPr>
        <w:t xml:space="preserve">ة في العصر الحاضر، ولانتشاره أسباب </w:t>
      </w:r>
      <w:r>
        <w:rPr>
          <w:rFonts w:hint="cs"/>
          <w:sz w:val="38"/>
          <w:szCs w:val="38"/>
          <w:rtl/>
        </w:rPr>
        <w:t>عدة</w:t>
      </w:r>
      <w:r w:rsidR="00182410" w:rsidRPr="00C230D8">
        <w:rPr>
          <w:rFonts w:hint="cs"/>
          <w:sz w:val="38"/>
          <w:szCs w:val="38"/>
          <w:rtl/>
        </w:rPr>
        <w:t>.</w:t>
      </w:r>
    </w:p>
    <w:p w:rsidR="001768DC" w:rsidRPr="00C230D8" w:rsidRDefault="007915F9" w:rsidP="005B614C">
      <w:pPr>
        <w:numPr>
          <w:ilvl w:val="0"/>
          <w:numId w:val="4"/>
        </w:numPr>
        <w:jc w:val="lowKashida"/>
        <w:rPr>
          <w:sz w:val="38"/>
          <w:szCs w:val="38"/>
        </w:rPr>
      </w:pPr>
      <w:r>
        <w:rPr>
          <w:rFonts w:hint="cs"/>
          <w:sz w:val="38"/>
          <w:szCs w:val="38"/>
          <w:rtl/>
        </w:rPr>
        <w:t>المنهج التكفيري والذي سلكته الأحزاب المبتدعة -المنتسبة للإسلام- المعاصرة عنصر فاعل في إنتشار المذهب الخارجي</w:t>
      </w:r>
      <w:r w:rsidR="00460AD5" w:rsidRPr="00C230D8">
        <w:rPr>
          <w:rFonts w:hint="cs"/>
          <w:sz w:val="38"/>
          <w:szCs w:val="38"/>
          <w:rtl/>
        </w:rPr>
        <w:t>.</w:t>
      </w:r>
    </w:p>
    <w:p w:rsidR="00460AD5" w:rsidRPr="00C230D8" w:rsidRDefault="004D3368" w:rsidP="005B614C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 xml:space="preserve">الاضطهدات التي وقعت </w:t>
      </w:r>
      <w:r w:rsidR="005B614C">
        <w:rPr>
          <w:rFonts w:hint="cs"/>
          <w:sz w:val="38"/>
          <w:szCs w:val="38"/>
          <w:rtl/>
        </w:rPr>
        <w:t>ب</w:t>
      </w:r>
      <w:r w:rsidRPr="00C230D8">
        <w:rPr>
          <w:rFonts w:hint="cs"/>
          <w:sz w:val="38"/>
          <w:szCs w:val="38"/>
          <w:rtl/>
        </w:rPr>
        <w:t>بعض التنظيمات الإسلامية في بعض الدول، قد ساهمت في انتشار الفكر التكفيري.</w:t>
      </w:r>
    </w:p>
    <w:p w:rsidR="004D3368" w:rsidRPr="00C230D8" w:rsidRDefault="006D53C0" w:rsidP="00C05612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إن التكفير له مخاطر كبيرة تعود على الفرد والأسرة والمجتمع.</w:t>
      </w:r>
    </w:p>
    <w:p w:rsidR="006D53C0" w:rsidRPr="00C230D8" w:rsidRDefault="005B614C" w:rsidP="00C05612">
      <w:pPr>
        <w:numPr>
          <w:ilvl w:val="0"/>
          <w:numId w:val="4"/>
        </w:numPr>
        <w:jc w:val="lowKashida"/>
        <w:rPr>
          <w:sz w:val="38"/>
          <w:szCs w:val="38"/>
        </w:rPr>
      </w:pPr>
      <w:r>
        <w:rPr>
          <w:rFonts w:hint="cs"/>
          <w:sz w:val="38"/>
          <w:szCs w:val="38"/>
          <w:rtl/>
        </w:rPr>
        <w:t>تُ</w:t>
      </w:r>
      <w:r w:rsidR="006D53C0" w:rsidRPr="00C230D8">
        <w:rPr>
          <w:rFonts w:hint="cs"/>
          <w:sz w:val="38"/>
          <w:szCs w:val="38"/>
          <w:rtl/>
        </w:rPr>
        <w:t>عتبر الخوارج من أهل البدع والضلال، وهم غير خارجين عن الإسلام.</w:t>
      </w:r>
    </w:p>
    <w:p w:rsidR="009E64E4" w:rsidRPr="00C230D8" w:rsidRDefault="001E6F52" w:rsidP="001E6F52">
      <w:pPr>
        <w:numPr>
          <w:ilvl w:val="0"/>
          <w:numId w:val="4"/>
        </w:numPr>
        <w:jc w:val="lowKashida"/>
        <w:rPr>
          <w:sz w:val="38"/>
          <w:szCs w:val="38"/>
        </w:rPr>
      </w:pPr>
      <w:r>
        <w:rPr>
          <w:rFonts w:hint="cs"/>
          <w:sz w:val="38"/>
          <w:szCs w:val="38"/>
          <w:rtl/>
        </w:rPr>
        <w:t>الخوارج فرق كثيرةٌ</w:t>
      </w:r>
      <w:r w:rsidR="009E64E4" w:rsidRPr="00C230D8">
        <w:rPr>
          <w:rFonts w:hint="cs"/>
          <w:sz w:val="38"/>
          <w:szCs w:val="38"/>
          <w:rtl/>
        </w:rPr>
        <w:t xml:space="preserve"> متناحرة </w:t>
      </w:r>
      <w:r>
        <w:rPr>
          <w:rFonts w:hint="cs"/>
          <w:sz w:val="38"/>
          <w:szCs w:val="38"/>
          <w:rtl/>
        </w:rPr>
        <w:t xml:space="preserve"> فيما بينها </w:t>
      </w:r>
      <w:r w:rsidR="009E64E4" w:rsidRPr="00C230D8">
        <w:rPr>
          <w:rFonts w:hint="cs"/>
          <w:sz w:val="38"/>
          <w:szCs w:val="38"/>
          <w:rtl/>
        </w:rPr>
        <w:t xml:space="preserve">كل واحدة </w:t>
      </w:r>
      <w:r>
        <w:rPr>
          <w:rFonts w:hint="cs"/>
          <w:sz w:val="38"/>
          <w:szCs w:val="38"/>
          <w:rtl/>
        </w:rPr>
        <w:t>منها تكفّر</w:t>
      </w:r>
      <w:r w:rsidR="009E64E4" w:rsidRPr="00C230D8">
        <w:rPr>
          <w:rFonts w:hint="cs"/>
          <w:sz w:val="38"/>
          <w:szCs w:val="38"/>
          <w:rtl/>
        </w:rPr>
        <w:t xml:space="preserve"> الأخرى وت</w:t>
      </w:r>
      <w:r w:rsidR="00534763">
        <w:rPr>
          <w:rFonts w:hint="cs"/>
          <w:sz w:val="38"/>
          <w:szCs w:val="38"/>
          <w:rtl/>
        </w:rPr>
        <w:t>َ</w:t>
      </w:r>
      <w:r w:rsidR="009E64E4" w:rsidRPr="00C230D8">
        <w:rPr>
          <w:rFonts w:hint="cs"/>
          <w:sz w:val="38"/>
          <w:szCs w:val="38"/>
          <w:rtl/>
        </w:rPr>
        <w:t>ل</w:t>
      </w:r>
      <w:r w:rsidR="00534763">
        <w:rPr>
          <w:rFonts w:hint="cs"/>
          <w:sz w:val="38"/>
          <w:szCs w:val="38"/>
          <w:rtl/>
        </w:rPr>
        <w:t>ْ</w:t>
      </w:r>
      <w:r w:rsidR="009E64E4" w:rsidRPr="00C230D8">
        <w:rPr>
          <w:rFonts w:hint="cs"/>
          <w:sz w:val="38"/>
          <w:szCs w:val="38"/>
          <w:rtl/>
        </w:rPr>
        <w:t>ع</w:t>
      </w:r>
      <w:r w:rsidR="00534763">
        <w:rPr>
          <w:rFonts w:hint="cs"/>
          <w:sz w:val="38"/>
          <w:szCs w:val="38"/>
          <w:rtl/>
        </w:rPr>
        <w:t>َ</w:t>
      </w:r>
      <w:r w:rsidR="009E64E4" w:rsidRPr="00C230D8">
        <w:rPr>
          <w:rFonts w:hint="cs"/>
          <w:sz w:val="38"/>
          <w:szCs w:val="38"/>
          <w:rtl/>
        </w:rPr>
        <w:t>نها.</w:t>
      </w:r>
    </w:p>
    <w:p w:rsidR="006C34E6" w:rsidRPr="00C230D8" w:rsidRDefault="005610F6" w:rsidP="005610F6">
      <w:pPr>
        <w:numPr>
          <w:ilvl w:val="0"/>
          <w:numId w:val="4"/>
        </w:numPr>
        <w:jc w:val="lowKashida"/>
        <w:rPr>
          <w:sz w:val="38"/>
          <w:szCs w:val="38"/>
        </w:rPr>
      </w:pPr>
      <w:r>
        <w:rPr>
          <w:rFonts w:hint="cs"/>
          <w:sz w:val="38"/>
          <w:szCs w:val="38"/>
          <w:rtl/>
        </w:rPr>
        <w:t>تُعتبر الخوارج أو</w:t>
      </w:r>
      <w:r w:rsidR="004C6965">
        <w:rPr>
          <w:rFonts w:hint="cs"/>
          <w:sz w:val="38"/>
          <w:szCs w:val="38"/>
          <w:rtl/>
        </w:rPr>
        <w:t>ّ</w:t>
      </w:r>
      <w:r>
        <w:rPr>
          <w:rFonts w:hint="cs"/>
          <w:sz w:val="38"/>
          <w:szCs w:val="38"/>
          <w:rtl/>
        </w:rPr>
        <w:t xml:space="preserve">ل فرقة ظهوراً في الأمة.  </w:t>
      </w:r>
    </w:p>
    <w:p w:rsidR="006C34E6" w:rsidRPr="00C230D8" w:rsidRDefault="001F245E" w:rsidP="0068140D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 xml:space="preserve">إن مقتل الخليفة الراشد عثمان بن عفان </w:t>
      </w:r>
      <w:r w:rsidRPr="00C230D8">
        <w:rPr>
          <w:rFonts w:hint="cs"/>
          <w:sz w:val="38"/>
          <w:szCs w:val="38"/>
        </w:rPr>
        <w:sym w:font="AGA Arabesque" w:char="F074"/>
      </w:r>
      <w:r w:rsidRPr="00C230D8">
        <w:rPr>
          <w:rFonts w:hint="cs"/>
          <w:sz w:val="38"/>
          <w:szCs w:val="38"/>
          <w:rtl/>
        </w:rPr>
        <w:t xml:space="preserve"> كان بمثابة نزعة أوّلية لظهور الخوارج.</w:t>
      </w:r>
    </w:p>
    <w:p w:rsidR="0068140D" w:rsidRPr="00C230D8" w:rsidRDefault="0068140D" w:rsidP="00515DE8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lastRenderedPageBreak/>
        <w:t xml:space="preserve">كما أن الدرو الذي لعبه ابن سبأ اليهودي كان قد أسهم بشكل كبير في انتشار الفتنة </w:t>
      </w:r>
      <w:r w:rsidR="00515DE8">
        <w:rPr>
          <w:rFonts w:hint="cs"/>
          <w:sz w:val="38"/>
          <w:szCs w:val="38"/>
          <w:rtl/>
        </w:rPr>
        <w:t>بين</w:t>
      </w:r>
      <w:r w:rsidRPr="00C230D8">
        <w:rPr>
          <w:rFonts w:hint="cs"/>
          <w:sz w:val="38"/>
          <w:szCs w:val="38"/>
          <w:rtl/>
        </w:rPr>
        <w:t xml:space="preserve"> المسلمين.</w:t>
      </w:r>
    </w:p>
    <w:p w:rsidR="0068140D" w:rsidRPr="00C230D8" w:rsidRDefault="00D12AC6" w:rsidP="00343DE6">
      <w:pPr>
        <w:numPr>
          <w:ilvl w:val="0"/>
          <w:numId w:val="4"/>
        </w:numPr>
        <w:jc w:val="lowKashida"/>
        <w:rPr>
          <w:sz w:val="38"/>
          <w:szCs w:val="38"/>
        </w:rPr>
      </w:pPr>
      <w:r>
        <w:rPr>
          <w:rFonts w:hint="cs"/>
          <w:sz w:val="38"/>
          <w:szCs w:val="38"/>
          <w:rtl/>
        </w:rPr>
        <w:t>موضوع التحكيم يُعتبر</w:t>
      </w:r>
      <w:r w:rsidR="007915F9">
        <w:rPr>
          <w:rFonts w:hint="cs"/>
          <w:sz w:val="38"/>
          <w:szCs w:val="38"/>
          <w:rtl/>
        </w:rPr>
        <w:t xml:space="preserve"> المحور الأساس</w:t>
      </w:r>
      <w:r w:rsidR="00286936" w:rsidRPr="00C230D8">
        <w:rPr>
          <w:rFonts w:hint="cs"/>
          <w:sz w:val="38"/>
          <w:szCs w:val="38"/>
          <w:rtl/>
        </w:rPr>
        <w:t xml:space="preserve"> في نشوء </w:t>
      </w:r>
      <w:r w:rsidR="00343DE6">
        <w:rPr>
          <w:rFonts w:hint="cs"/>
          <w:sz w:val="38"/>
          <w:szCs w:val="38"/>
          <w:rtl/>
        </w:rPr>
        <w:t>الخلاف</w:t>
      </w:r>
      <w:r w:rsidR="00286936" w:rsidRPr="00C230D8">
        <w:rPr>
          <w:rFonts w:hint="cs"/>
          <w:sz w:val="38"/>
          <w:szCs w:val="38"/>
          <w:rtl/>
        </w:rPr>
        <w:t xml:space="preserve"> بين الخوارج وبين الصحابة </w:t>
      </w:r>
      <w:r w:rsidR="00286936" w:rsidRPr="00C230D8">
        <w:rPr>
          <w:rFonts w:hint="cs"/>
          <w:sz w:val="38"/>
          <w:szCs w:val="38"/>
        </w:rPr>
        <w:sym w:font="AGA Arabesque" w:char="F079"/>
      </w:r>
      <w:r w:rsidR="00286936" w:rsidRPr="00C230D8">
        <w:rPr>
          <w:rFonts w:hint="cs"/>
          <w:sz w:val="38"/>
          <w:szCs w:val="38"/>
          <w:rtl/>
        </w:rPr>
        <w:t>.</w:t>
      </w:r>
    </w:p>
    <w:p w:rsidR="00286936" w:rsidRPr="00C230D8" w:rsidRDefault="00286936" w:rsidP="0068140D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استدلال</w:t>
      </w:r>
      <w:r w:rsidR="00343DE6">
        <w:rPr>
          <w:rFonts w:hint="cs"/>
          <w:sz w:val="38"/>
          <w:szCs w:val="38"/>
          <w:rtl/>
        </w:rPr>
        <w:t>ُ</w:t>
      </w:r>
      <w:r w:rsidRPr="00C230D8">
        <w:rPr>
          <w:rFonts w:hint="cs"/>
          <w:sz w:val="38"/>
          <w:szCs w:val="38"/>
          <w:rtl/>
        </w:rPr>
        <w:t xml:space="preserve"> الخوارج بقضية التحكيم على كفر مرتكب الكبيرة، أو</w:t>
      </w:r>
      <w:r w:rsidR="000D3518" w:rsidRPr="00C230D8">
        <w:rPr>
          <w:rFonts w:hint="cs"/>
          <w:sz w:val="38"/>
          <w:szCs w:val="38"/>
          <w:rtl/>
        </w:rPr>
        <w:t>ّل مسألة تتعلق بمنهحية ا</w:t>
      </w:r>
      <w:r w:rsidRPr="00C230D8">
        <w:rPr>
          <w:rFonts w:hint="cs"/>
          <w:sz w:val="38"/>
          <w:szCs w:val="38"/>
          <w:rtl/>
        </w:rPr>
        <w:t>لتكفير وحكم مرتكب الكبيرة.</w:t>
      </w:r>
    </w:p>
    <w:p w:rsidR="00286936" w:rsidRPr="00C230D8" w:rsidRDefault="00286936" w:rsidP="0068140D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إن</w:t>
      </w:r>
      <w:r w:rsidR="000D3518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 الخوارج من أ</w:t>
      </w:r>
      <w:r w:rsidR="00343DE6">
        <w:rPr>
          <w:rFonts w:hint="cs"/>
          <w:sz w:val="38"/>
          <w:szCs w:val="38"/>
          <w:rtl/>
        </w:rPr>
        <w:t>َ</w:t>
      </w:r>
      <w:r w:rsidRPr="00C230D8">
        <w:rPr>
          <w:rFonts w:hint="cs"/>
          <w:sz w:val="38"/>
          <w:szCs w:val="38"/>
          <w:rtl/>
        </w:rPr>
        <w:t>ج</w:t>
      </w:r>
      <w:r w:rsidR="00343DE6">
        <w:rPr>
          <w:rFonts w:hint="cs"/>
          <w:sz w:val="38"/>
          <w:szCs w:val="38"/>
          <w:rtl/>
        </w:rPr>
        <w:t>ْ</w:t>
      </w:r>
      <w:r w:rsidRPr="00C230D8">
        <w:rPr>
          <w:rFonts w:hint="cs"/>
          <w:sz w:val="38"/>
          <w:szCs w:val="38"/>
          <w:rtl/>
        </w:rPr>
        <w:t>هل خلق الله عز وجل، حيث فسّروا النصوص على فه</w:t>
      </w:r>
      <w:r w:rsidR="00343DE6">
        <w:rPr>
          <w:rFonts w:hint="cs"/>
          <w:sz w:val="38"/>
          <w:szCs w:val="38"/>
          <w:rtl/>
        </w:rPr>
        <w:t>ْ</w:t>
      </w:r>
      <w:r w:rsidRPr="00C230D8">
        <w:rPr>
          <w:rFonts w:hint="cs"/>
          <w:sz w:val="38"/>
          <w:szCs w:val="38"/>
          <w:rtl/>
        </w:rPr>
        <w:t>م</w:t>
      </w:r>
      <w:r w:rsidR="00343DE6">
        <w:rPr>
          <w:rFonts w:hint="cs"/>
          <w:sz w:val="38"/>
          <w:szCs w:val="38"/>
          <w:rtl/>
        </w:rPr>
        <w:t>ِ</w:t>
      </w:r>
      <w:r w:rsidRPr="00C230D8">
        <w:rPr>
          <w:rFonts w:hint="cs"/>
          <w:sz w:val="38"/>
          <w:szCs w:val="38"/>
          <w:rtl/>
        </w:rPr>
        <w:t>هم القائم على الجهل.</w:t>
      </w:r>
    </w:p>
    <w:p w:rsidR="00286936" w:rsidRPr="00C230D8" w:rsidRDefault="00784A95" w:rsidP="00F47757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بُعد الخوارج عن أهل العلم</w:t>
      </w:r>
      <w:r w:rsidR="00F47757">
        <w:rPr>
          <w:rFonts w:hint="cs"/>
          <w:sz w:val="38"/>
          <w:szCs w:val="38"/>
          <w:rtl/>
        </w:rPr>
        <w:t>،</w:t>
      </w:r>
      <w:r w:rsidRPr="00C230D8">
        <w:rPr>
          <w:rFonts w:hint="cs"/>
          <w:sz w:val="38"/>
          <w:szCs w:val="38"/>
          <w:rtl/>
        </w:rPr>
        <w:t xml:space="preserve"> والعلماء الرّبانيين </w:t>
      </w:r>
      <w:r w:rsidR="00F47757">
        <w:rPr>
          <w:rFonts w:hint="cs"/>
          <w:sz w:val="38"/>
          <w:szCs w:val="38"/>
          <w:rtl/>
        </w:rPr>
        <w:t>أوقعهم في ضلالات كثيرة</w:t>
      </w:r>
      <w:r w:rsidRPr="00C230D8">
        <w:rPr>
          <w:rFonts w:hint="cs"/>
          <w:sz w:val="38"/>
          <w:szCs w:val="38"/>
          <w:rtl/>
        </w:rPr>
        <w:t>.</w:t>
      </w:r>
    </w:p>
    <w:p w:rsidR="00784A95" w:rsidRPr="00C230D8" w:rsidRDefault="00784A95" w:rsidP="0068140D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الخوارج لا يأخذون بفهم أهل العلم والس</w:t>
      </w:r>
      <w:r w:rsidR="00427E8A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>لف، وإنما يأخذون بظواهر النصوص.</w:t>
      </w:r>
    </w:p>
    <w:p w:rsidR="00784A95" w:rsidRPr="00C230D8" w:rsidRDefault="00C70A1C" w:rsidP="0068140D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مسألة الإيمان من المسائل الشائكة لدى الخوارج، حيث انزلقوا في تفسيره انزلاقا كبيرا</w:t>
      </w:r>
      <w:r w:rsidR="0094181C">
        <w:rPr>
          <w:rFonts w:hint="cs"/>
          <w:sz w:val="38"/>
          <w:szCs w:val="38"/>
          <w:rtl/>
        </w:rPr>
        <w:t>ً</w:t>
      </w:r>
      <w:r w:rsidRPr="00C230D8">
        <w:rPr>
          <w:rFonts w:hint="cs"/>
          <w:sz w:val="38"/>
          <w:szCs w:val="38"/>
          <w:rtl/>
        </w:rPr>
        <w:t>.</w:t>
      </w:r>
    </w:p>
    <w:p w:rsidR="00C70A1C" w:rsidRPr="00C230D8" w:rsidRDefault="00E35BCD" w:rsidP="0094181C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قولهم في العصاة، وإخراجهم من الملة، والحكم على تخليدهم في النار، كان نتيجة فهمهم للإيمان فهما</w:t>
      </w:r>
      <w:r w:rsidR="0094181C">
        <w:rPr>
          <w:rFonts w:hint="cs"/>
          <w:sz w:val="38"/>
          <w:szCs w:val="38"/>
          <w:rtl/>
        </w:rPr>
        <w:t>ً</w:t>
      </w:r>
      <w:r w:rsidRPr="00C230D8">
        <w:rPr>
          <w:rFonts w:hint="cs"/>
          <w:sz w:val="38"/>
          <w:szCs w:val="38"/>
          <w:rtl/>
        </w:rPr>
        <w:t xml:space="preserve"> خاطئا</w:t>
      </w:r>
      <w:r w:rsidR="0094181C">
        <w:rPr>
          <w:rFonts w:hint="cs"/>
          <w:sz w:val="38"/>
          <w:szCs w:val="38"/>
          <w:rtl/>
        </w:rPr>
        <w:t>ً</w:t>
      </w:r>
      <w:r w:rsidRPr="00C230D8">
        <w:rPr>
          <w:rFonts w:hint="cs"/>
          <w:sz w:val="38"/>
          <w:szCs w:val="38"/>
          <w:rtl/>
        </w:rPr>
        <w:t xml:space="preserve">. </w:t>
      </w:r>
    </w:p>
    <w:p w:rsidR="00504CE7" w:rsidRPr="00C230D8" w:rsidRDefault="00504CE7" w:rsidP="00674A7D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قولهم في الإيمان إنما ب</w:t>
      </w:r>
      <w:r w:rsidR="004C59AA" w:rsidRPr="00C230D8">
        <w:rPr>
          <w:rFonts w:hint="cs"/>
          <w:sz w:val="38"/>
          <w:szCs w:val="38"/>
          <w:rtl/>
        </w:rPr>
        <w:t>ُ</w:t>
      </w:r>
      <w:r w:rsidRPr="00C230D8">
        <w:rPr>
          <w:rFonts w:hint="cs"/>
          <w:sz w:val="38"/>
          <w:szCs w:val="38"/>
          <w:rtl/>
        </w:rPr>
        <w:t xml:space="preserve">ني نتيجة فهمهم للنصوص </w:t>
      </w:r>
      <w:r w:rsidR="00AC1BBA">
        <w:rPr>
          <w:rFonts w:hint="cs"/>
          <w:sz w:val="38"/>
          <w:szCs w:val="38"/>
          <w:rtl/>
        </w:rPr>
        <w:t>-</w:t>
      </w:r>
      <w:r w:rsidRPr="00C230D8">
        <w:rPr>
          <w:rFonts w:hint="cs"/>
          <w:sz w:val="38"/>
          <w:szCs w:val="38"/>
          <w:rtl/>
        </w:rPr>
        <w:t>الوارد في مسائل الإيمان</w:t>
      </w:r>
      <w:r w:rsidR="004C59AA" w:rsidRPr="00C230D8">
        <w:rPr>
          <w:rFonts w:hint="cs"/>
          <w:sz w:val="38"/>
          <w:szCs w:val="38"/>
          <w:rtl/>
        </w:rPr>
        <w:t>-</w:t>
      </w:r>
      <w:r w:rsidR="00427E8A" w:rsidRPr="00C230D8">
        <w:rPr>
          <w:rFonts w:hint="cs"/>
          <w:sz w:val="38"/>
          <w:szCs w:val="38"/>
          <w:rtl/>
        </w:rPr>
        <w:t xml:space="preserve"> فهما</w:t>
      </w:r>
      <w:r w:rsidR="00674A7D">
        <w:rPr>
          <w:rFonts w:hint="cs"/>
          <w:sz w:val="38"/>
          <w:szCs w:val="38"/>
          <w:rtl/>
        </w:rPr>
        <w:t>ً</w:t>
      </w:r>
      <w:r w:rsidR="00427E8A" w:rsidRPr="00C230D8">
        <w:rPr>
          <w:rFonts w:hint="cs"/>
          <w:sz w:val="38"/>
          <w:szCs w:val="38"/>
          <w:rtl/>
        </w:rPr>
        <w:t xml:space="preserve"> خاطئ</w:t>
      </w:r>
      <w:r w:rsidR="00674A7D">
        <w:rPr>
          <w:rFonts w:hint="cs"/>
          <w:sz w:val="38"/>
          <w:szCs w:val="38"/>
          <w:rtl/>
        </w:rPr>
        <w:t>ً</w:t>
      </w:r>
      <w:r w:rsidR="00427E8A" w:rsidRPr="00C230D8">
        <w:rPr>
          <w:rFonts w:hint="cs"/>
          <w:sz w:val="38"/>
          <w:szCs w:val="38"/>
          <w:rtl/>
        </w:rPr>
        <w:t xml:space="preserve">ا، </w:t>
      </w:r>
      <w:r w:rsidRPr="00C230D8">
        <w:rPr>
          <w:rFonts w:hint="cs"/>
          <w:sz w:val="38"/>
          <w:szCs w:val="38"/>
          <w:rtl/>
        </w:rPr>
        <w:t>وأيضا بناء</w:t>
      </w:r>
      <w:r w:rsidR="00AF0D57">
        <w:rPr>
          <w:rFonts w:hint="cs"/>
          <w:sz w:val="38"/>
          <w:szCs w:val="38"/>
          <w:rtl/>
        </w:rPr>
        <w:t>ً</w:t>
      </w:r>
      <w:r w:rsidRPr="00C230D8">
        <w:rPr>
          <w:rFonts w:hint="cs"/>
          <w:sz w:val="38"/>
          <w:szCs w:val="38"/>
          <w:rtl/>
        </w:rPr>
        <w:t xml:space="preserve"> على الش</w:t>
      </w:r>
      <w:r w:rsidR="009C2389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>به العقلية التي استندوا إليها في إخراج العاصي من الإيمان.</w:t>
      </w:r>
    </w:p>
    <w:p w:rsidR="00E711F2" w:rsidRPr="00C230D8" w:rsidRDefault="00E711F2" w:rsidP="004575F0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القول الحقّ في الإيمان هو: أنه قول وعمل، وأنه يتبعّض ويتركّب، ويزيد وينقص.</w:t>
      </w:r>
    </w:p>
    <w:p w:rsidR="009C2389" w:rsidRPr="00C230D8" w:rsidRDefault="000A20F5" w:rsidP="0068140D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اختلاف الخوارج فيما بين</w:t>
      </w:r>
      <w:r w:rsidR="00F13234" w:rsidRPr="00C230D8">
        <w:rPr>
          <w:rFonts w:hint="cs"/>
          <w:sz w:val="38"/>
          <w:szCs w:val="38"/>
          <w:rtl/>
        </w:rPr>
        <w:t>َ</w:t>
      </w:r>
      <w:r w:rsidRPr="00C230D8">
        <w:rPr>
          <w:rFonts w:hint="cs"/>
          <w:sz w:val="38"/>
          <w:szCs w:val="38"/>
          <w:rtl/>
        </w:rPr>
        <w:t>هم -في مسألة الحكم على العاصي- لدليل</w:t>
      </w:r>
      <w:r w:rsidR="009F415B">
        <w:rPr>
          <w:rFonts w:hint="cs"/>
          <w:sz w:val="38"/>
          <w:szCs w:val="38"/>
          <w:rtl/>
        </w:rPr>
        <w:t>ٌ</w:t>
      </w:r>
      <w:r w:rsidRPr="00C230D8">
        <w:rPr>
          <w:rFonts w:hint="cs"/>
          <w:sz w:val="38"/>
          <w:szCs w:val="38"/>
          <w:rtl/>
        </w:rPr>
        <w:t xml:space="preserve"> واضح</w:t>
      </w:r>
      <w:r w:rsidR="009F415B">
        <w:rPr>
          <w:rFonts w:hint="cs"/>
          <w:sz w:val="38"/>
          <w:szCs w:val="38"/>
          <w:rtl/>
        </w:rPr>
        <w:t>ٌ</w:t>
      </w:r>
      <w:r w:rsidRPr="00C230D8">
        <w:rPr>
          <w:rFonts w:hint="cs"/>
          <w:sz w:val="38"/>
          <w:szCs w:val="38"/>
          <w:rtl/>
        </w:rPr>
        <w:t xml:space="preserve"> على الاضطراب في المنهجي</w:t>
      </w:r>
      <w:r w:rsidR="007C427C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ة التي اتبعوها في الحكم </w:t>
      </w:r>
      <w:r w:rsidRPr="00C230D8">
        <w:rPr>
          <w:rFonts w:hint="cs"/>
          <w:sz w:val="38"/>
          <w:szCs w:val="38"/>
          <w:rtl/>
        </w:rPr>
        <w:lastRenderedPageBreak/>
        <w:t>على العاصي.</w:t>
      </w:r>
    </w:p>
    <w:p w:rsidR="00F13234" w:rsidRPr="00C230D8" w:rsidRDefault="00F75BD4" w:rsidP="00031B5A">
      <w:pPr>
        <w:numPr>
          <w:ilvl w:val="0"/>
          <w:numId w:val="4"/>
        </w:numPr>
        <w:jc w:val="lowKashida"/>
        <w:rPr>
          <w:sz w:val="38"/>
          <w:szCs w:val="38"/>
        </w:rPr>
      </w:pPr>
      <w:r>
        <w:rPr>
          <w:rFonts w:hint="cs"/>
          <w:sz w:val="38"/>
          <w:szCs w:val="38"/>
          <w:rtl/>
        </w:rPr>
        <w:t>إخراج الخوارج مَنْ وافقهم -في بعض الأمور-</w:t>
      </w:r>
      <w:r w:rsidR="00307285" w:rsidRPr="00C230D8">
        <w:rPr>
          <w:rFonts w:hint="cs"/>
          <w:sz w:val="38"/>
          <w:szCs w:val="38"/>
          <w:rtl/>
        </w:rPr>
        <w:t xml:space="preserve"> </w:t>
      </w:r>
      <w:r>
        <w:rPr>
          <w:rFonts w:hint="cs"/>
          <w:sz w:val="38"/>
          <w:szCs w:val="38"/>
          <w:rtl/>
        </w:rPr>
        <w:t>مِنْ بعض الأحكام</w:t>
      </w:r>
      <w:r w:rsidR="00307285" w:rsidRPr="00C230D8">
        <w:rPr>
          <w:rFonts w:hint="cs"/>
          <w:sz w:val="38"/>
          <w:szCs w:val="38"/>
          <w:rtl/>
        </w:rPr>
        <w:t xml:space="preserve"> الواقعة فيهم</w:t>
      </w:r>
      <w:r w:rsidR="00031B5A">
        <w:rPr>
          <w:rFonts w:hint="cs"/>
          <w:sz w:val="38"/>
          <w:szCs w:val="38"/>
          <w:rtl/>
        </w:rPr>
        <w:t>؛</w:t>
      </w:r>
      <w:r w:rsidR="00307285" w:rsidRPr="00C230D8">
        <w:rPr>
          <w:rFonts w:hint="cs"/>
          <w:sz w:val="38"/>
          <w:szCs w:val="38"/>
          <w:rtl/>
        </w:rPr>
        <w:t xml:space="preserve"> لدل</w:t>
      </w:r>
      <w:r w:rsidR="009F415B">
        <w:rPr>
          <w:rFonts w:hint="cs"/>
          <w:sz w:val="38"/>
          <w:szCs w:val="38"/>
          <w:rtl/>
        </w:rPr>
        <w:t>يلٌ واضحٌ على الخلل في منهجيّة التكفير، وفيما يتخذونه من أحكام.</w:t>
      </w:r>
      <w:r w:rsidR="00307285" w:rsidRPr="00C230D8">
        <w:rPr>
          <w:rFonts w:hint="cs"/>
          <w:sz w:val="38"/>
          <w:szCs w:val="38"/>
          <w:rtl/>
        </w:rPr>
        <w:t>.</w:t>
      </w:r>
    </w:p>
    <w:p w:rsidR="00673CD7" w:rsidRPr="00C230D8" w:rsidRDefault="00673CD7" w:rsidP="0068140D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قسوة الخوارج في إطلاق الأحكام على المخالفين لم تقتصر على البالغين، بل شم</w:t>
      </w:r>
      <w:r w:rsidR="007C2024" w:rsidRPr="00C230D8">
        <w:rPr>
          <w:rFonts w:hint="cs"/>
          <w:sz w:val="38"/>
          <w:szCs w:val="38"/>
          <w:rtl/>
        </w:rPr>
        <w:t>ِ</w:t>
      </w:r>
      <w:r w:rsidRPr="00C230D8">
        <w:rPr>
          <w:rFonts w:hint="cs"/>
          <w:sz w:val="38"/>
          <w:szCs w:val="38"/>
          <w:rtl/>
        </w:rPr>
        <w:t>ل</w:t>
      </w:r>
      <w:r w:rsidR="007C2024" w:rsidRPr="00C230D8">
        <w:rPr>
          <w:rFonts w:hint="cs"/>
          <w:sz w:val="38"/>
          <w:szCs w:val="38"/>
          <w:rtl/>
        </w:rPr>
        <w:t>َت أيضا الأطفال</w:t>
      </w:r>
      <w:r w:rsidRPr="00C230D8">
        <w:rPr>
          <w:rFonts w:hint="cs"/>
          <w:sz w:val="38"/>
          <w:szCs w:val="38"/>
          <w:rtl/>
        </w:rPr>
        <w:t xml:space="preserve"> والرّضع.</w:t>
      </w:r>
    </w:p>
    <w:p w:rsidR="00673CD7" w:rsidRPr="00C230D8" w:rsidRDefault="00EE416D" w:rsidP="00031B5A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القول الحق</w:t>
      </w:r>
      <w:r w:rsidR="001509B8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 في العصاة أنهم غير خارجين عن الملة، وأنهم يوم القيامة تحت مشيئة المولى تبارك وتعالى.</w:t>
      </w:r>
    </w:p>
    <w:p w:rsidR="00EE416D" w:rsidRPr="00C230D8" w:rsidRDefault="003C471B" w:rsidP="0068140D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حصول الشّفاعة في العصاة يوم القيامة من أقوى الأدلة على نقض قول الخوارج.</w:t>
      </w:r>
    </w:p>
    <w:p w:rsidR="003C471B" w:rsidRPr="00C230D8" w:rsidRDefault="00031B5A" w:rsidP="00C3112E">
      <w:pPr>
        <w:numPr>
          <w:ilvl w:val="0"/>
          <w:numId w:val="4"/>
        </w:numPr>
        <w:jc w:val="lowKashida"/>
        <w:rPr>
          <w:sz w:val="38"/>
          <w:szCs w:val="38"/>
        </w:rPr>
      </w:pPr>
      <w:r>
        <w:rPr>
          <w:rFonts w:hint="cs"/>
          <w:sz w:val="38"/>
          <w:szCs w:val="38"/>
          <w:rtl/>
        </w:rPr>
        <w:t>وكذلك خروج العصاة</w:t>
      </w:r>
      <w:r w:rsidR="00C3112E" w:rsidRPr="00C230D8">
        <w:rPr>
          <w:rFonts w:hint="cs"/>
          <w:sz w:val="38"/>
          <w:szCs w:val="38"/>
          <w:rtl/>
        </w:rPr>
        <w:t xml:space="preserve"> من النار -بعد أخذ نصيبهم من الجزاء- من الأوجه القوي</w:t>
      </w:r>
      <w:r w:rsidR="00987373" w:rsidRPr="00C230D8">
        <w:rPr>
          <w:rFonts w:hint="cs"/>
          <w:sz w:val="38"/>
          <w:szCs w:val="38"/>
          <w:rtl/>
        </w:rPr>
        <w:t>ّ</w:t>
      </w:r>
      <w:r w:rsidR="00C3112E" w:rsidRPr="00C230D8">
        <w:rPr>
          <w:rFonts w:hint="cs"/>
          <w:sz w:val="38"/>
          <w:szCs w:val="38"/>
          <w:rtl/>
        </w:rPr>
        <w:t>ة في بطلان قول الخوارج.</w:t>
      </w:r>
    </w:p>
    <w:p w:rsidR="00E0315B" w:rsidRPr="00C230D8" w:rsidRDefault="00E0315B" w:rsidP="00E0315B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مسألة القول في التكفير مما اعت</w:t>
      </w:r>
      <w:r w:rsidR="000F7C7B" w:rsidRPr="00C230D8">
        <w:rPr>
          <w:rFonts w:hint="cs"/>
          <w:sz w:val="38"/>
          <w:szCs w:val="38"/>
          <w:rtl/>
        </w:rPr>
        <w:t>بره العلماء من المسائل العظام لِمَ</w:t>
      </w:r>
      <w:r w:rsidRPr="00C230D8">
        <w:rPr>
          <w:rFonts w:hint="cs"/>
          <w:sz w:val="38"/>
          <w:szCs w:val="38"/>
          <w:rtl/>
        </w:rPr>
        <w:t>ا يترت</w:t>
      </w:r>
      <w:r w:rsidR="000F7C7B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>ب عليه</w:t>
      </w:r>
      <w:r w:rsidR="00031B5A">
        <w:rPr>
          <w:rFonts w:hint="cs"/>
          <w:sz w:val="38"/>
          <w:szCs w:val="38"/>
          <w:rtl/>
        </w:rPr>
        <w:t xml:space="preserve"> مِن</w:t>
      </w:r>
      <w:r w:rsidRPr="00C230D8">
        <w:rPr>
          <w:rFonts w:hint="cs"/>
          <w:sz w:val="38"/>
          <w:szCs w:val="38"/>
          <w:rtl/>
        </w:rPr>
        <w:t xml:space="preserve"> أحكام عديدة.</w:t>
      </w:r>
    </w:p>
    <w:p w:rsidR="0098465D" w:rsidRPr="00C230D8" w:rsidRDefault="0098465D" w:rsidP="00031B5A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كما أن</w:t>
      </w:r>
      <w:r w:rsidR="001A016F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 القول فيه بلا </w:t>
      </w:r>
      <w:r w:rsidR="00031B5A">
        <w:rPr>
          <w:rFonts w:hint="cs"/>
          <w:sz w:val="38"/>
          <w:szCs w:val="38"/>
          <w:rtl/>
        </w:rPr>
        <w:t>عِلم</w:t>
      </w:r>
      <w:r w:rsidRPr="00C230D8">
        <w:rPr>
          <w:rFonts w:hint="cs"/>
          <w:sz w:val="38"/>
          <w:szCs w:val="38"/>
          <w:rtl/>
        </w:rPr>
        <w:t xml:space="preserve"> ي</w:t>
      </w:r>
      <w:r w:rsidR="00BB1525" w:rsidRPr="00C230D8">
        <w:rPr>
          <w:rFonts w:hint="cs"/>
          <w:sz w:val="38"/>
          <w:szCs w:val="38"/>
          <w:rtl/>
        </w:rPr>
        <w:t>ُ</w:t>
      </w:r>
      <w:r w:rsidRPr="00C230D8">
        <w:rPr>
          <w:rFonts w:hint="cs"/>
          <w:sz w:val="38"/>
          <w:szCs w:val="38"/>
          <w:rtl/>
        </w:rPr>
        <w:t>عبتر من القول على الله بلا علم.</w:t>
      </w:r>
    </w:p>
    <w:p w:rsidR="005271BE" w:rsidRPr="00C230D8" w:rsidRDefault="00E0315B" w:rsidP="005271BE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 xml:space="preserve"> </w:t>
      </w:r>
      <w:r w:rsidR="005271BE" w:rsidRPr="00C230D8">
        <w:rPr>
          <w:rFonts w:hint="cs"/>
          <w:sz w:val="38"/>
          <w:szCs w:val="38"/>
          <w:rtl/>
        </w:rPr>
        <w:t>الت</w:t>
      </w:r>
      <w:r w:rsidR="000F7C7B" w:rsidRPr="00C230D8">
        <w:rPr>
          <w:rFonts w:hint="cs"/>
          <w:sz w:val="38"/>
          <w:szCs w:val="38"/>
          <w:rtl/>
        </w:rPr>
        <w:t>ّ</w:t>
      </w:r>
      <w:r w:rsidR="005271BE" w:rsidRPr="00C230D8">
        <w:rPr>
          <w:rFonts w:hint="cs"/>
          <w:sz w:val="38"/>
          <w:szCs w:val="38"/>
          <w:rtl/>
        </w:rPr>
        <w:t>كفير حكم</w:t>
      </w:r>
      <w:r w:rsidR="000F7C7B" w:rsidRPr="00C230D8">
        <w:rPr>
          <w:rFonts w:hint="cs"/>
          <w:sz w:val="38"/>
          <w:szCs w:val="38"/>
          <w:rtl/>
        </w:rPr>
        <w:t>ٌ</w:t>
      </w:r>
      <w:r w:rsidR="005271BE" w:rsidRPr="00C230D8">
        <w:rPr>
          <w:rFonts w:hint="cs"/>
          <w:sz w:val="38"/>
          <w:szCs w:val="38"/>
          <w:rtl/>
        </w:rPr>
        <w:t xml:space="preserve"> شرعيّ، </w:t>
      </w:r>
      <w:r w:rsidR="00031B5A">
        <w:rPr>
          <w:rFonts w:hint="cs"/>
          <w:sz w:val="38"/>
          <w:szCs w:val="38"/>
          <w:rtl/>
        </w:rPr>
        <w:t>و</w:t>
      </w:r>
      <w:r w:rsidR="005271BE" w:rsidRPr="00C230D8">
        <w:rPr>
          <w:rFonts w:hint="cs"/>
          <w:sz w:val="38"/>
          <w:szCs w:val="38"/>
          <w:rtl/>
        </w:rPr>
        <w:t>لا ي</w:t>
      </w:r>
      <w:r w:rsidR="000F7C7B" w:rsidRPr="00C230D8">
        <w:rPr>
          <w:rFonts w:hint="cs"/>
          <w:sz w:val="38"/>
          <w:szCs w:val="38"/>
          <w:rtl/>
        </w:rPr>
        <w:t>ُ</w:t>
      </w:r>
      <w:r w:rsidR="005271BE" w:rsidRPr="00C230D8">
        <w:rPr>
          <w:rFonts w:hint="cs"/>
          <w:sz w:val="38"/>
          <w:szCs w:val="38"/>
          <w:rtl/>
        </w:rPr>
        <w:t>كفّ</w:t>
      </w:r>
      <w:r w:rsidR="000F7C7B" w:rsidRPr="00C230D8">
        <w:rPr>
          <w:rFonts w:hint="cs"/>
          <w:sz w:val="38"/>
          <w:szCs w:val="38"/>
          <w:rtl/>
        </w:rPr>
        <w:t>َ</w:t>
      </w:r>
      <w:r w:rsidR="005271BE" w:rsidRPr="00C230D8">
        <w:rPr>
          <w:rFonts w:hint="cs"/>
          <w:sz w:val="38"/>
          <w:szCs w:val="38"/>
          <w:rtl/>
        </w:rPr>
        <w:t>ر أحٌد إلا من كفّره الله ورسوله.</w:t>
      </w:r>
    </w:p>
    <w:p w:rsidR="005271BE" w:rsidRPr="00C230D8" w:rsidRDefault="005271BE" w:rsidP="007915F9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لا بد من التفريق بين الحكم على المعي</w:t>
      </w:r>
      <w:r w:rsidR="000F7C7B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ن، وبين الحكم </w:t>
      </w:r>
      <w:r w:rsidR="007915F9">
        <w:rPr>
          <w:rFonts w:hint="cs"/>
          <w:sz w:val="38"/>
          <w:szCs w:val="38"/>
          <w:rtl/>
        </w:rPr>
        <w:t>المطلق</w:t>
      </w:r>
      <w:r w:rsidRPr="00C230D8">
        <w:rPr>
          <w:rFonts w:hint="cs"/>
          <w:sz w:val="38"/>
          <w:szCs w:val="38"/>
          <w:rtl/>
        </w:rPr>
        <w:t>.</w:t>
      </w:r>
    </w:p>
    <w:p w:rsidR="005271BE" w:rsidRPr="00C230D8" w:rsidRDefault="005271BE" w:rsidP="005271BE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يجب إقامة الحجة على المخالف قبل إطلاق الحكم عليه.</w:t>
      </w:r>
    </w:p>
    <w:p w:rsidR="00E95FE3" w:rsidRPr="00C230D8" w:rsidRDefault="00E95FE3" w:rsidP="00031B5A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يُعذر المتلبّس بالكفر</w:t>
      </w:r>
      <w:r w:rsidR="000F7C7B" w:rsidRPr="00C230D8">
        <w:rPr>
          <w:rFonts w:hint="cs"/>
          <w:sz w:val="38"/>
          <w:szCs w:val="38"/>
          <w:rtl/>
        </w:rPr>
        <w:t xml:space="preserve"> حال جهله -</w:t>
      </w:r>
      <w:r w:rsidRPr="00C230D8">
        <w:rPr>
          <w:rFonts w:hint="cs"/>
          <w:sz w:val="38"/>
          <w:szCs w:val="38"/>
          <w:rtl/>
        </w:rPr>
        <w:t xml:space="preserve">الجهل المعتبر-، ما لم يكن حصوله </w:t>
      </w:r>
      <w:r w:rsidR="00031B5A">
        <w:rPr>
          <w:rFonts w:hint="cs"/>
          <w:sz w:val="38"/>
          <w:szCs w:val="38"/>
          <w:rtl/>
        </w:rPr>
        <w:t>عن</w:t>
      </w:r>
      <w:r w:rsidRPr="00C230D8">
        <w:rPr>
          <w:rFonts w:hint="cs"/>
          <w:sz w:val="38"/>
          <w:szCs w:val="38"/>
          <w:rtl/>
        </w:rPr>
        <w:t xml:space="preserve"> </w:t>
      </w:r>
      <w:r w:rsidR="00637F7B" w:rsidRPr="00C230D8">
        <w:rPr>
          <w:rFonts w:hint="cs"/>
          <w:sz w:val="38"/>
          <w:szCs w:val="38"/>
          <w:rtl/>
        </w:rPr>
        <w:t>ت</w:t>
      </w:r>
      <w:r w:rsidRPr="00C230D8">
        <w:rPr>
          <w:rFonts w:hint="cs"/>
          <w:sz w:val="38"/>
          <w:szCs w:val="38"/>
          <w:rtl/>
        </w:rPr>
        <w:t>عم</w:t>
      </w:r>
      <w:r w:rsidR="00637F7B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>دٍ.</w:t>
      </w:r>
    </w:p>
    <w:p w:rsidR="005271BE" w:rsidRPr="00C230D8" w:rsidRDefault="00A95037" w:rsidP="005271BE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لا بدّ في الت</w:t>
      </w:r>
      <w:r w:rsidR="003D44DB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>كفير على المعي</w:t>
      </w:r>
      <w:r w:rsidR="003D44DB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>ن م</w:t>
      </w:r>
      <w:r w:rsidR="00031B5A">
        <w:rPr>
          <w:rFonts w:hint="cs"/>
          <w:sz w:val="38"/>
          <w:szCs w:val="38"/>
          <w:rtl/>
        </w:rPr>
        <w:t>ِ</w:t>
      </w:r>
      <w:r w:rsidRPr="00C230D8">
        <w:rPr>
          <w:rFonts w:hint="cs"/>
          <w:sz w:val="38"/>
          <w:szCs w:val="38"/>
          <w:rtl/>
        </w:rPr>
        <w:t>ن تحق</w:t>
      </w:r>
      <w:r w:rsidR="00720448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>ق الشّروط، وانتفاء الموانع التي استنبطها أهل العلم من الن</w:t>
      </w:r>
      <w:r w:rsidR="003D44DB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>صوص.</w:t>
      </w:r>
    </w:p>
    <w:p w:rsidR="00A95037" w:rsidRPr="00C230D8" w:rsidRDefault="00031B5A" w:rsidP="00031B5A">
      <w:pPr>
        <w:numPr>
          <w:ilvl w:val="0"/>
          <w:numId w:val="4"/>
        </w:numPr>
        <w:jc w:val="lowKashida"/>
        <w:rPr>
          <w:sz w:val="38"/>
          <w:szCs w:val="38"/>
        </w:rPr>
      </w:pPr>
      <w:r>
        <w:rPr>
          <w:rFonts w:hint="cs"/>
          <w:sz w:val="38"/>
          <w:szCs w:val="38"/>
          <w:rtl/>
        </w:rPr>
        <w:t xml:space="preserve">لا بد في </w:t>
      </w:r>
      <w:r w:rsidR="004C6CB7" w:rsidRPr="00C230D8">
        <w:rPr>
          <w:rFonts w:hint="cs"/>
          <w:sz w:val="38"/>
          <w:szCs w:val="38"/>
          <w:rtl/>
        </w:rPr>
        <w:t>التأويل أن يكون سائغا</w:t>
      </w:r>
      <w:r w:rsidR="00637F7B" w:rsidRPr="00C230D8">
        <w:rPr>
          <w:rFonts w:hint="cs"/>
          <w:sz w:val="38"/>
          <w:szCs w:val="38"/>
          <w:rtl/>
        </w:rPr>
        <w:t>ً</w:t>
      </w:r>
      <w:r w:rsidR="004C6CB7" w:rsidRPr="00C230D8">
        <w:rPr>
          <w:rFonts w:hint="cs"/>
          <w:sz w:val="38"/>
          <w:szCs w:val="38"/>
          <w:rtl/>
        </w:rPr>
        <w:t xml:space="preserve"> في لغة العرب، وأن يكون معتبرا</w:t>
      </w:r>
      <w:r w:rsidR="00637F7B" w:rsidRPr="00C230D8">
        <w:rPr>
          <w:rFonts w:hint="cs"/>
          <w:sz w:val="38"/>
          <w:szCs w:val="38"/>
          <w:rtl/>
        </w:rPr>
        <w:t>ً</w:t>
      </w:r>
      <w:r>
        <w:rPr>
          <w:rFonts w:hint="cs"/>
          <w:sz w:val="38"/>
          <w:szCs w:val="38"/>
          <w:rtl/>
        </w:rPr>
        <w:t xml:space="preserve"> </w:t>
      </w:r>
      <w:r>
        <w:rPr>
          <w:rFonts w:hint="cs"/>
          <w:sz w:val="38"/>
          <w:szCs w:val="38"/>
          <w:rtl/>
        </w:rPr>
        <w:lastRenderedPageBreak/>
        <w:t>في عرف أهل العلم</w:t>
      </w:r>
      <w:r w:rsidR="004C6CB7" w:rsidRPr="00C230D8">
        <w:rPr>
          <w:rFonts w:hint="cs"/>
          <w:sz w:val="38"/>
          <w:szCs w:val="38"/>
          <w:rtl/>
        </w:rPr>
        <w:t xml:space="preserve">، </w:t>
      </w:r>
      <w:r>
        <w:rPr>
          <w:rFonts w:hint="cs"/>
          <w:sz w:val="38"/>
          <w:szCs w:val="38"/>
          <w:rtl/>
        </w:rPr>
        <w:t>ما</w:t>
      </w:r>
      <w:r w:rsidR="004C6CB7" w:rsidRPr="00C230D8">
        <w:rPr>
          <w:rFonts w:hint="cs"/>
          <w:sz w:val="38"/>
          <w:szCs w:val="38"/>
          <w:rtl/>
        </w:rPr>
        <w:t xml:space="preserve"> كل</w:t>
      </w:r>
      <w:r w:rsidR="00637F7B" w:rsidRPr="00C230D8">
        <w:rPr>
          <w:rFonts w:hint="cs"/>
          <w:sz w:val="38"/>
          <w:szCs w:val="38"/>
          <w:rtl/>
        </w:rPr>
        <w:t>ّ</w:t>
      </w:r>
      <w:r>
        <w:rPr>
          <w:rFonts w:hint="cs"/>
          <w:sz w:val="38"/>
          <w:szCs w:val="38"/>
          <w:rtl/>
        </w:rPr>
        <w:t xml:space="preserve"> تأويلٍ</w:t>
      </w:r>
      <w:r w:rsidR="004C6CB7" w:rsidRPr="00C230D8">
        <w:rPr>
          <w:rFonts w:hint="cs"/>
          <w:sz w:val="38"/>
          <w:szCs w:val="38"/>
          <w:rtl/>
        </w:rPr>
        <w:t xml:space="preserve"> يُعذر فيه قائله.</w:t>
      </w:r>
    </w:p>
    <w:p w:rsidR="004C6CB7" w:rsidRPr="00C230D8" w:rsidRDefault="00860FFD" w:rsidP="005271BE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الخوارج من أعظم المتنا</w:t>
      </w:r>
      <w:r w:rsidR="00031B5A">
        <w:rPr>
          <w:rFonts w:hint="cs"/>
          <w:sz w:val="38"/>
          <w:szCs w:val="38"/>
          <w:rtl/>
        </w:rPr>
        <w:t>قضين في باب التّكفير، حيث لا يوج</w:t>
      </w:r>
      <w:r w:rsidRPr="00C230D8">
        <w:rPr>
          <w:rFonts w:hint="cs"/>
          <w:sz w:val="38"/>
          <w:szCs w:val="38"/>
          <w:rtl/>
        </w:rPr>
        <w:t>د لديهم</w:t>
      </w:r>
      <w:r w:rsidR="00031B5A">
        <w:rPr>
          <w:rFonts w:hint="cs"/>
          <w:sz w:val="38"/>
          <w:szCs w:val="38"/>
          <w:rtl/>
        </w:rPr>
        <w:t xml:space="preserve"> ميزان مستقيم في تكفير المخالف</w:t>
      </w:r>
      <w:r w:rsidRPr="00C230D8">
        <w:rPr>
          <w:rFonts w:hint="cs"/>
          <w:sz w:val="38"/>
          <w:szCs w:val="38"/>
          <w:rtl/>
        </w:rPr>
        <w:t>، فهُم ي</w:t>
      </w:r>
      <w:r w:rsidR="00637F7B" w:rsidRPr="00C230D8">
        <w:rPr>
          <w:rFonts w:hint="cs"/>
          <w:sz w:val="38"/>
          <w:szCs w:val="38"/>
          <w:rtl/>
        </w:rPr>
        <w:t>ُ</w:t>
      </w:r>
      <w:r w:rsidRPr="00C230D8">
        <w:rPr>
          <w:rFonts w:hint="cs"/>
          <w:sz w:val="38"/>
          <w:szCs w:val="38"/>
          <w:rtl/>
        </w:rPr>
        <w:t>كفّرون بالّلوزام، وي</w:t>
      </w:r>
      <w:r w:rsidR="00637F7B" w:rsidRPr="00C230D8">
        <w:rPr>
          <w:rFonts w:hint="cs"/>
          <w:sz w:val="38"/>
          <w:szCs w:val="38"/>
          <w:rtl/>
        </w:rPr>
        <w:t>ُ</w:t>
      </w:r>
      <w:r w:rsidRPr="00C230D8">
        <w:rPr>
          <w:rFonts w:hint="cs"/>
          <w:sz w:val="38"/>
          <w:szCs w:val="38"/>
          <w:rtl/>
        </w:rPr>
        <w:t>كفّرون بالظّنو والأوهام.</w:t>
      </w:r>
    </w:p>
    <w:p w:rsidR="002E099D" w:rsidRPr="00C230D8" w:rsidRDefault="00114BAE" w:rsidP="005271BE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مسألة الإمامة</w:t>
      </w:r>
      <w:r w:rsidR="008254B9" w:rsidRPr="00C230D8">
        <w:rPr>
          <w:rFonts w:hint="cs"/>
          <w:sz w:val="38"/>
          <w:szCs w:val="38"/>
          <w:rtl/>
        </w:rPr>
        <w:t xml:space="preserve"> العظمى</w:t>
      </w:r>
      <w:r w:rsidRPr="00C230D8">
        <w:rPr>
          <w:rFonts w:hint="cs"/>
          <w:sz w:val="38"/>
          <w:szCs w:val="38"/>
          <w:rtl/>
        </w:rPr>
        <w:t xml:space="preserve"> من أهمّ مسائل الدين، وذلك لما ينوط بها من أمور مرتبطة بالمعاش.</w:t>
      </w:r>
    </w:p>
    <w:p w:rsidR="00114BAE" w:rsidRPr="00C230D8" w:rsidRDefault="00277915" w:rsidP="005271BE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ت</w:t>
      </w:r>
      <w:r w:rsidR="00B52C02" w:rsidRPr="00C230D8">
        <w:rPr>
          <w:rFonts w:hint="cs"/>
          <w:sz w:val="38"/>
          <w:szCs w:val="38"/>
          <w:rtl/>
        </w:rPr>
        <w:t>َ</w:t>
      </w:r>
      <w:r w:rsidRPr="00C230D8">
        <w:rPr>
          <w:rFonts w:hint="cs"/>
          <w:sz w:val="38"/>
          <w:szCs w:val="38"/>
          <w:rtl/>
        </w:rPr>
        <w:t>ن</w:t>
      </w:r>
      <w:r w:rsidR="00B52C02" w:rsidRPr="00C230D8">
        <w:rPr>
          <w:rFonts w:hint="cs"/>
          <w:sz w:val="38"/>
          <w:szCs w:val="38"/>
          <w:rtl/>
        </w:rPr>
        <w:t>ْ</w:t>
      </w:r>
      <w:r w:rsidRPr="00C230D8">
        <w:rPr>
          <w:rFonts w:hint="cs"/>
          <w:sz w:val="38"/>
          <w:szCs w:val="38"/>
          <w:rtl/>
        </w:rPr>
        <w:t>عقد الإمامة عند أهل السنة والجماعة بأحد الطرق الثلاثة</w:t>
      </w:r>
      <w:r w:rsidR="00CE1E3E" w:rsidRPr="00C230D8">
        <w:rPr>
          <w:rFonts w:hint="cs"/>
          <w:sz w:val="38"/>
          <w:szCs w:val="38"/>
          <w:rtl/>
        </w:rPr>
        <w:t>: الاستخلاف، بيعة أهل الحل والعق</w:t>
      </w:r>
      <w:r w:rsidRPr="00C230D8">
        <w:rPr>
          <w:rFonts w:hint="cs"/>
          <w:sz w:val="38"/>
          <w:szCs w:val="38"/>
          <w:rtl/>
        </w:rPr>
        <w:t>د، طريق الغلبة، أما الخوارج فلا يعتبرونها صحيحة</w:t>
      </w:r>
      <w:r w:rsidR="00031B5A">
        <w:rPr>
          <w:rFonts w:hint="cs"/>
          <w:sz w:val="38"/>
          <w:szCs w:val="38"/>
          <w:rtl/>
        </w:rPr>
        <w:t>ً</w:t>
      </w:r>
      <w:r w:rsidRPr="00C230D8">
        <w:rPr>
          <w:rFonts w:hint="cs"/>
          <w:sz w:val="38"/>
          <w:szCs w:val="38"/>
          <w:rtl/>
        </w:rPr>
        <w:t xml:space="preserve"> لانعقاد الإمامة، إلا الطريق الأول.</w:t>
      </w:r>
    </w:p>
    <w:p w:rsidR="00277915" w:rsidRPr="00C230D8" w:rsidRDefault="008E6CD4" w:rsidP="00031B5A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الخوارج خالفوا أهل</w:t>
      </w:r>
      <w:r w:rsidR="00B664AD" w:rsidRPr="00C230D8">
        <w:rPr>
          <w:rFonts w:hint="cs"/>
          <w:sz w:val="38"/>
          <w:szCs w:val="38"/>
          <w:rtl/>
        </w:rPr>
        <w:t>َ</w:t>
      </w:r>
      <w:r w:rsidRPr="00C230D8">
        <w:rPr>
          <w:rFonts w:hint="cs"/>
          <w:sz w:val="38"/>
          <w:szCs w:val="38"/>
          <w:rtl/>
        </w:rPr>
        <w:t xml:space="preserve"> السُّنّة في كثير من الشّ</w:t>
      </w:r>
      <w:r w:rsidR="00031B5A">
        <w:rPr>
          <w:rFonts w:hint="cs"/>
          <w:sz w:val="38"/>
          <w:szCs w:val="38"/>
          <w:rtl/>
        </w:rPr>
        <w:t xml:space="preserve">روط التي وُضعت لنصب الإمام، </w:t>
      </w:r>
      <w:r w:rsidR="00B664AD" w:rsidRPr="00C230D8">
        <w:rPr>
          <w:rFonts w:hint="cs"/>
          <w:sz w:val="38"/>
          <w:szCs w:val="38"/>
          <w:rtl/>
        </w:rPr>
        <w:t xml:space="preserve">منها: قول بعضهم بجواز تولي المرأة </w:t>
      </w:r>
      <w:r w:rsidR="000D235E">
        <w:rPr>
          <w:rFonts w:hint="cs"/>
          <w:sz w:val="38"/>
          <w:szCs w:val="38"/>
          <w:rtl/>
        </w:rPr>
        <w:t>شؤو</w:t>
      </w:r>
      <w:r w:rsidR="00B664AD" w:rsidRPr="00C230D8">
        <w:rPr>
          <w:rFonts w:hint="cs"/>
          <w:sz w:val="38"/>
          <w:szCs w:val="38"/>
          <w:rtl/>
        </w:rPr>
        <w:t>ن</w:t>
      </w:r>
      <w:r w:rsidR="00031B5A">
        <w:rPr>
          <w:rFonts w:hint="cs"/>
          <w:sz w:val="38"/>
          <w:szCs w:val="38"/>
          <w:rtl/>
        </w:rPr>
        <w:t>َ</w:t>
      </w:r>
      <w:r w:rsidR="00B664AD" w:rsidRPr="00C230D8">
        <w:rPr>
          <w:rFonts w:hint="cs"/>
          <w:sz w:val="38"/>
          <w:szCs w:val="38"/>
          <w:rtl/>
        </w:rPr>
        <w:t xml:space="preserve"> الحكم، وكذلك عدم اشتراطهم القرشية في نصب الإمام.</w:t>
      </w:r>
    </w:p>
    <w:p w:rsidR="00B46D49" w:rsidRPr="00C230D8" w:rsidRDefault="002D191C" w:rsidP="00F05209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إن</w:t>
      </w:r>
      <w:r w:rsidR="0024096B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 علماء الحنفية استدلوا بالن</w:t>
      </w:r>
      <w:r w:rsidR="0024096B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صوص الواردة في الكتاب والسنة الدّالّة على الاجتماع والوحدة، والطّاعة للإمام في </w:t>
      </w:r>
      <w:r w:rsidR="00F05209">
        <w:rPr>
          <w:rFonts w:hint="cs"/>
          <w:sz w:val="38"/>
          <w:szCs w:val="38"/>
          <w:rtl/>
        </w:rPr>
        <w:t>ال</w:t>
      </w:r>
      <w:r w:rsidRPr="00C230D8">
        <w:rPr>
          <w:rFonts w:hint="cs"/>
          <w:sz w:val="38"/>
          <w:szCs w:val="38"/>
          <w:rtl/>
        </w:rPr>
        <w:t>معروف، والد</w:t>
      </w:r>
      <w:r w:rsidR="00F05209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>ال</w:t>
      </w:r>
      <w:r w:rsidR="00F05209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>ة كذلك على ذم</w:t>
      </w:r>
      <w:r w:rsidR="0024096B" w:rsidRPr="00C230D8">
        <w:rPr>
          <w:rFonts w:hint="cs"/>
          <w:sz w:val="38"/>
          <w:szCs w:val="38"/>
          <w:rtl/>
        </w:rPr>
        <w:t>ّ</w:t>
      </w:r>
      <w:r w:rsidR="00F05209">
        <w:rPr>
          <w:rFonts w:hint="cs"/>
          <w:sz w:val="38"/>
          <w:szCs w:val="38"/>
          <w:rtl/>
        </w:rPr>
        <w:t xml:space="preserve"> المفارقة</w:t>
      </w:r>
      <w:r w:rsidRPr="00C230D8">
        <w:rPr>
          <w:rFonts w:hint="cs"/>
          <w:sz w:val="38"/>
          <w:szCs w:val="38"/>
          <w:rtl/>
        </w:rPr>
        <w:t>.</w:t>
      </w:r>
    </w:p>
    <w:p w:rsidR="00B664AD" w:rsidRPr="00C230D8" w:rsidRDefault="00E4752B" w:rsidP="00E4752B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 xml:space="preserve">استشهادهم بأقوال السّلف وأفعالهم -وفي مقدمتهم الصحابة </w:t>
      </w:r>
      <w:r w:rsidRPr="00C230D8">
        <w:rPr>
          <w:rFonts w:hint="cs"/>
          <w:sz w:val="38"/>
          <w:szCs w:val="38"/>
        </w:rPr>
        <w:sym w:font="AGA Arabesque" w:char="F079"/>
      </w:r>
      <w:r w:rsidRPr="00C230D8">
        <w:rPr>
          <w:rFonts w:hint="cs"/>
          <w:sz w:val="38"/>
          <w:szCs w:val="38"/>
          <w:rtl/>
        </w:rPr>
        <w:t>- في ذم</w:t>
      </w:r>
      <w:r w:rsidR="00F05209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 المفارقة، والاجتناب عن الفتن، وعدم الخوض فيها، ولا الت</w:t>
      </w:r>
      <w:r w:rsidR="0024096B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>حريض عليها.</w:t>
      </w:r>
    </w:p>
    <w:p w:rsidR="00E4752B" w:rsidRPr="00C230D8" w:rsidRDefault="00E517C5" w:rsidP="00E4752B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بيان علماء الحنفية لحرمة الخروج على الحكام وعدم منابذتهم، ولا مصارعتهم</w:t>
      </w:r>
      <w:r w:rsidR="00E076FB" w:rsidRPr="00C230D8">
        <w:rPr>
          <w:rFonts w:hint="cs"/>
          <w:sz w:val="38"/>
          <w:szCs w:val="38"/>
          <w:rtl/>
        </w:rPr>
        <w:t>، كما بي</w:t>
      </w:r>
      <w:r w:rsidR="0024096B" w:rsidRPr="00C230D8">
        <w:rPr>
          <w:rFonts w:hint="cs"/>
          <w:sz w:val="38"/>
          <w:szCs w:val="38"/>
          <w:rtl/>
        </w:rPr>
        <w:t>ّ</w:t>
      </w:r>
      <w:r w:rsidR="00E076FB" w:rsidRPr="00C230D8">
        <w:rPr>
          <w:rFonts w:hint="cs"/>
          <w:sz w:val="38"/>
          <w:szCs w:val="38"/>
          <w:rtl/>
        </w:rPr>
        <w:t>نوا أنه لا يجوز شتم</w:t>
      </w:r>
      <w:r w:rsidR="0024096B" w:rsidRPr="00C230D8">
        <w:rPr>
          <w:rFonts w:hint="cs"/>
          <w:sz w:val="38"/>
          <w:szCs w:val="38"/>
          <w:rtl/>
        </w:rPr>
        <w:t>ُ</w:t>
      </w:r>
      <w:r w:rsidR="00E076FB" w:rsidRPr="00C230D8">
        <w:rPr>
          <w:rFonts w:hint="cs"/>
          <w:sz w:val="38"/>
          <w:szCs w:val="38"/>
          <w:rtl/>
        </w:rPr>
        <w:t>هم ولا التعريض بهم، بل يُدعى لهم بالص</w:t>
      </w:r>
      <w:r w:rsidR="0024096B" w:rsidRPr="00C230D8">
        <w:rPr>
          <w:rFonts w:hint="cs"/>
          <w:sz w:val="38"/>
          <w:szCs w:val="38"/>
          <w:rtl/>
        </w:rPr>
        <w:t>ّ</w:t>
      </w:r>
      <w:r w:rsidR="00E076FB" w:rsidRPr="00C230D8">
        <w:rPr>
          <w:rFonts w:hint="cs"/>
          <w:sz w:val="38"/>
          <w:szCs w:val="38"/>
          <w:rtl/>
        </w:rPr>
        <w:t>لاح والتقوى.</w:t>
      </w:r>
    </w:p>
    <w:p w:rsidR="002F18C7" w:rsidRPr="00C230D8" w:rsidRDefault="002F18C7" w:rsidP="00E4752B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حثّ</w:t>
      </w:r>
      <w:r w:rsidR="0024096B" w:rsidRPr="00C230D8">
        <w:rPr>
          <w:rFonts w:hint="cs"/>
          <w:sz w:val="38"/>
          <w:szCs w:val="38"/>
          <w:rtl/>
        </w:rPr>
        <w:t>ُ</w:t>
      </w:r>
      <w:r w:rsidRPr="00C230D8">
        <w:rPr>
          <w:rFonts w:hint="cs"/>
          <w:sz w:val="38"/>
          <w:szCs w:val="38"/>
          <w:rtl/>
        </w:rPr>
        <w:t xml:space="preserve"> علماء الحنفية بالص</w:t>
      </w:r>
      <w:r w:rsidR="00F05209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>بر على جور الحكام وظلمهم، وذلك للمصلحة العامة.</w:t>
      </w:r>
    </w:p>
    <w:p w:rsidR="002F18C7" w:rsidRPr="00C230D8" w:rsidRDefault="002F18C7" w:rsidP="00F05209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lastRenderedPageBreak/>
        <w:t>كما بيّنوا أن</w:t>
      </w:r>
      <w:r w:rsidR="0024096B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 الطعن في الولاة والحك</w:t>
      </w:r>
      <w:r w:rsidR="0024096B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>ام إنما من سيرة الخوارج وعا</w:t>
      </w:r>
      <w:r w:rsidR="0024096B" w:rsidRPr="00C230D8">
        <w:rPr>
          <w:rFonts w:hint="cs"/>
          <w:sz w:val="38"/>
          <w:szCs w:val="38"/>
          <w:rtl/>
        </w:rPr>
        <w:t>د</w:t>
      </w:r>
      <w:r w:rsidRPr="00C230D8">
        <w:rPr>
          <w:rFonts w:hint="cs"/>
          <w:sz w:val="38"/>
          <w:szCs w:val="38"/>
          <w:rtl/>
        </w:rPr>
        <w:t>تهم</w:t>
      </w:r>
      <w:r w:rsidR="00F05209">
        <w:rPr>
          <w:rFonts w:hint="cs"/>
          <w:sz w:val="38"/>
          <w:szCs w:val="38"/>
          <w:rtl/>
        </w:rPr>
        <w:t>؛</w:t>
      </w:r>
      <w:r w:rsidRPr="00C230D8">
        <w:rPr>
          <w:rFonts w:hint="cs"/>
          <w:sz w:val="38"/>
          <w:szCs w:val="38"/>
          <w:rtl/>
        </w:rPr>
        <w:t xml:space="preserve"> حيث تبي</w:t>
      </w:r>
      <w:r w:rsidR="0024096B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ن </w:t>
      </w:r>
      <w:r w:rsidR="0024096B" w:rsidRPr="00C230D8">
        <w:rPr>
          <w:rFonts w:hint="cs"/>
          <w:sz w:val="38"/>
          <w:szCs w:val="38"/>
          <w:rtl/>
        </w:rPr>
        <w:t>-</w:t>
      </w:r>
      <w:r w:rsidRPr="00C230D8">
        <w:rPr>
          <w:rFonts w:hint="cs"/>
          <w:sz w:val="38"/>
          <w:szCs w:val="38"/>
          <w:rtl/>
        </w:rPr>
        <w:t>وعلى مدى التاريخ</w:t>
      </w:r>
      <w:r w:rsidR="0024096B" w:rsidRPr="00C230D8">
        <w:rPr>
          <w:rFonts w:hint="cs"/>
          <w:sz w:val="38"/>
          <w:szCs w:val="38"/>
          <w:rtl/>
        </w:rPr>
        <w:t>-</w:t>
      </w:r>
      <w:r w:rsidRPr="00C230D8">
        <w:rPr>
          <w:rFonts w:hint="cs"/>
          <w:sz w:val="38"/>
          <w:szCs w:val="38"/>
          <w:rtl/>
        </w:rPr>
        <w:t xml:space="preserve"> أنهم </w:t>
      </w:r>
      <w:r w:rsidR="00F05209">
        <w:rPr>
          <w:rFonts w:hint="cs"/>
          <w:sz w:val="38"/>
          <w:szCs w:val="38"/>
          <w:rtl/>
        </w:rPr>
        <w:t>لم يصونوا كرامة الولاة</w:t>
      </w:r>
      <w:r w:rsidRPr="00C230D8">
        <w:rPr>
          <w:rFonts w:hint="cs"/>
          <w:sz w:val="38"/>
          <w:szCs w:val="38"/>
          <w:rtl/>
        </w:rPr>
        <w:t>.</w:t>
      </w:r>
    </w:p>
    <w:p w:rsidR="00857439" w:rsidRPr="00C230D8" w:rsidRDefault="00857439" w:rsidP="00F05209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 xml:space="preserve">كما أوصى علماء الحنفية بضرورة الوقوف مع الحاكم ونصرته في </w:t>
      </w:r>
      <w:r w:rsidR="00F05209">
        <w:rPr>
          <w:rFonts w:hint="cs"/>
          <w:sz w:val="38"/>
          <w:szCs w:val="38"/>
          <w:rtl/>
        </w:rPr>
        <w:t>وجه</w:t>
      </w:r>
      <w:r w:rsidRPr="00C230D8">
        <w:rPr>
          <w:rFonts w:hint="cs"/>
          <w:sz w:val="38"/>
          <w:szCs w:val="38"/>
          <w:rtl/>
        </w:rPr>
        <w:t xml:space="preserve"> الخوارج والبغاة الذين يستبيحون بيضة الحاكم والدولة.</w:t>
      </w:r>
    </w:p>
    <w:p w:rsidR="002F18C7" w:rsidRPr="00C230D8" w:rsidRDefault="002F18C7" w:rsidP="002F18C7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 xml:space="preserve"> </w:t>
      </w:r>
      <w:r w:rsidR="00177937" w:rsidRPr="00C230D8">
        <w:rPr>
          <w:rFonts w:hint="cs"/>
          <w:sz w:val="38"/>
          <w:szCs w:val="38"/>
          <w:rtl/>
        </w:rPr>
        <w:t>وذكر علماء الحنفية أن</w:t>
      </w:r>
      <w:r w:rsidR="0024096B" w:rsidRPr="00C230D8">
        <w:rPr>
          <w:rFonts w:hint="cs"/>
          <w:sz w:val="38"/>
          <w:szCs w:val="38"/>
          <w:rtl/>
        </w:rPr>
        <w:t>ّ</w:t>
      </w:r>
      <w:r w:rsidR="00177937" w:rsidRPr="00C230D8">
        <w:rPr>
          <w:rFonts w:hint="cs"/>
          <w:sz w:val="38"/>
          <w:szCs w:val="38"/>
          <w:rtl/>
        </w:rPr>
        <w:t xml:space="preserve"> للخروج على الدولة والمجتمع أضرارا</w:t>
      </w:r>
      <w:r w:rsidR="0024096B" w:rsidRPr="00C230D8">
        <w:rPr>
          <w:rFonts w:hint="cs"/>
          <w:sz w:val="38"/>
          <w:szCs w:val="38"/>
          <w:rtl/>
        </w:rPr>
        <w:t>ً</w:t>
      </w:r>
      <w:r w:rsidR="00177937" w:rsidRPr="00C230D8">
        <w:rPr>
          <w:rFonts w:hint="cs"/>
          <w:sz w:val="38"/>
          <w:szCs w:val="38"/>
          <w:rtl/>
        </w:rPr>
        <w:t xml:space="preserve"> عظيمة</w:t>
      </w:r>
      <w:r w:rsidR="0024096B" w:rsidRPr="00C230D8">
        <w:rPr>
          <w:rFonts w:hint="cs"/>
          <w:sz w:val="38"/>
          <w:szCs w:val="38"/>
          <w:rtl/>
        </w:rPr>
        <w:t>ً</w:t>
      </w:r>
      <w:r w:rsidR="00177937" w:rsidRPr="00C230D8">
        <w:rPr>
          <w:rFonts w:hint="cs"/>
          <w:sz w:val="38"/>
          <w:szCs w:val="38"/>
          <w:rtl/>
        </w:rPr>
        <w:t xml:space="preserve"> تعود أثرها على الفرد والمجتمع، ومن أعظمها خراب الأمن، وسفك الدماء، وسعي الفساد في الأرض.</w:t>
      </w:r>
    </w:p>
    <w:p w:rsidR="00177937" w:rsidRPr="00C230D8" w:rsidRDefault="00177937" w:rsidP="00177937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مسألة الحكم بغير ما أنزل الله من المسائل التي ي</w:t>
      </w:r>
      <w:r w:rsidR="00F05209">
        <w:rPr>
          <w:rFonts w:hint="cs"/>
          <w:sz w:val="38"/>
          <w:szCs w:val="38"/>
          <w:rtl/>
        </w:rPr>
        <w:t>ُ</w:t>
      </w:r>
      <w:r w:rsidRPr="00C230D8">
        <w:rPr>
          <w:rFonts w:hint="cs"/>
          <w:sz w:val="38"/>
          <w:szCs w:val="38"/>
          <w:rtl/>
        </w:rPr>
        <w:t>دندن حولها الخوارج من</w:t>
      </w:r>
      <w:r w:rsidR="0024096B" w:rsidRPr="00C230D8">
        <w:rPr>
          <w:rFonts w:hint="cs"/>
          <w:sz w:val="38"/>
          <w:szCs w:val="38"/>
          <w:rtl/>
        </w:rPr>
        <w:t>ذ</w:t>
      </w:r>
      <w:r w:rsidRPr="00C230D8">
        <w:rPr>
          <w:rFonts w:hint="cs"/>
          <w:sz w:val="38"/>
          <w:szCs w:val="38"/>
          <w:rtl/>
        </w:rPr>
        <w:t xml:space="preserve"> أن</w:t>
      </w:r>
      <w:r w:rsidR="0024096B" w:rsidRPr="00C230D8">
        <w:rPr>
          <w:rFonts w:hint="cs"/>
          <w:sz w:val="38"/>
          <w:szCs w:val="38"/>
          <w:rtl/>
        </w:rPr>
        <w:t>ْ</w:t>
      </w:r>
      <w:r w:rsidRPr="00C230D8">
        <w:rPr>
          <w:rFonts w:hint="cs"/>
          <w:sz w:val="38"/>
          <w:szCs w:val="38"/>
          <w:rtl/>
        </w:rPr>
        <w:t xml:space="preserve"> ظهروا وإلى أن تقوم الساعة، حيث اعتبروا أن</w:t>
      </w:r>
      <w:r w:rsidR="006B7E0D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 الحكم</w:t>
      </w:r>
      <w:r w:rsidR="0024096B" w:rsidRPr="00C230D8">
        <w:rPr>
          <w:rFonts w:hint="cs"/>
          <w:sz w:val="38"/>
          <w:szCs w:val="38"/>
          <w:rtl/>
        </w:rPr>
        <w:t xml:space="preserve"> بغير ما أنزل الله كفرٌ مطل</w:t>
      </w:r>
      <w:r w:rsidR="00F05209">
        <w:rPr>
          <w:rFonts w:hint="cs"/>
          <w:sz w:val="38"/>
          <w:szCs w:val="38"/>
          <w:rtl/>
        </w:rPr>
        <w:t>َ</w:t>
      </w:r>
      <w:r w:rsidR="0024096B" w:rsidRPr="00C230D8">
        <w:rPr>
          <w:rFonts w:hint="cs"/>
          <w:sz w:val="38"/>
          <w:szCs w:val="38"/>
          <w:rtl/>
        </w:rPr>
        <w:t>قٌ مخر</w:t>
      </w:r>
      <w:r w:rsidR="00F05209">
        <w:rPr>
          <w:rFonts w:hint="cs"/>
          <w:sz w:val="38"/>
          <w:szCs w:val="38"/>
          <w:rtl/>
        </w:rPr>
        <w:t>ِ</w:t>
      </w:r>
      <w:r w:rsidR="0024096B" w:rsidRPr="00C230D8">
        <w:rPr>
          <w:rFonts w:hint="cs"/>
          <w:sz w:val="38"/>
          <w:szCs w:val="38"/>
          <w:rtl/>
        </w:rPr>
        <w:t>جٌ</w:t>
      </w:r>
      <w:r w:rsidR="00F05209">
        <w:rPr>
          <w:rFonts w:hint="cs"/>
          <w:sz w:val="38"/>
          <w:szCs w:val="38"/>
          <w:rtl/>
        </w:rPr>
        <w:t xml:space="preserve"> من الملة، وعلى أساسه</w:t>
      </w:r>
      <w:r w:rsidRPr="00C230D8">
        <w:rPr>
          <w:rFonts w:hint="cs"/>
          <w:sz w:val="38"/>
          <w:szCs w:val="38"/>
          <w:rtl/>
        </w:rPr>
        <w:t xml:space="preserve"> كف</w:t>
      </w:r>
      <w:r w:rsidR="0024096B" w:rsidRPr="00C230D8">
        <w:rPr>
          <w:rFonts w:hint="cs"/>
          <w:sz w:val="38"/>
          <w:szCs w:val="38"/>
          <w:rtl/>
        </w:rPr>
        <w:t xml:space="preserve">ّروا </w:t>
      </w:r>
      <w:r w:rsidR="006B7E0D" w:rsidRPr="00C230D8">
        <w:rPr>
          <w:rFonts w:hint="cs"/>
          <w:sz w:val="38"/>
          <w:szCs w:val="38"/>
          <w:rtl/>
        </w:rPr>
        <w:t xml:space="preserve">الحكام، والتابعين لهم، والراضين بهم، والساكتين عنهم، </w:t>
      </w:r>
      <w:r w:rsidR="0024096B" w:rsidRPr="00C230D8">
        <w:rPr>
          <w:rFonts w:hint="cs"/>
          <w:sz w:val="38"/>
          <w:szCs w:val="38"/>
          <w:rtl/>
        </w:rPr>
        <w:t>-</w:t>
      </w:r>
      <w:r w:rsidR="006B7E0D" w:rsidRPr="00C230D8">
        <w:rPr>
          <w:rFonts w:hint="cs"/>
          <w:sz w:val="38"/>
          <w:szCs w:val="38"/>
          <w:rtl/>
        </w:rPr>
        <w:t>وهلم</w:t>
      </w:r>
      <w:r w:rsidR="0024096B" w:rsidRPr="00C230D8">
        <w:rPr>
          <w:rFonts w:hint="cs"/>
          <w:sz w:val="38"/>
          <w:szCs w:val="38"/>
          <w:rtl/>
        </w:rPr>
        <w:t>ّ</w:t>
      </w:r>
      <w:r w:rsidR="006B7E0D" w:rsidRPr="00C230D8">
        <w:rPr>
          <w:rFonts w:hint="cs"/>
          <w:sz w:val="38"/>
          <w:szCs w:val="38"/>
          <w:rtl/>
        </w:rPr>
        <w:t xml:space="preserve"> جرا</w:t>
      </w:r>
      <w:r w:rsidR="0024096B" w:rsidRPr="00C230D8">
        <w:rPr>
          <w:rFonts w:hint="cs"/>
          <w:sz w:val="38"/>
          <w:szCs w:val="38"/>
          <w:rtl/>
        </w:rPr>
        <w:t>-</w:t>
      </w:r>
      <w:r w:rsidR="006B7E0D" w:rsidRPr="00C230D8">
        <w:rPr>
          <w:rFonts w:hint="cs"/>
          <w:sz w:val="38"/>
          <w:szCs w:val="38"/>
          <w:rtl/>
        </w:rPr>
        <w:t>.</w:t>
      </w:r>
    </w:p>
    <w:p w:rsidR="00B8087F" w:rsidRPr="00C230D8" w:rsidRDefault="00B8087F" w:rsidP="00177937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إيضاح علماء الحنفية أن</w:t>
      </w:r>
      <w:r w:rsidR="0024096B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 الحكم بغير ما أنز</w:t>
      </w:r>
      <w:r w:rsidR="000445B4" w:rsidRPr="00C230D8">
        <w:rPr>
          <w:rFonts w:hint="cs"/>
          <w:sz w:val="38"/>
          <w:szCs w:val="38"/>
          <w:rtl/>
        </w:rPr>
        <w:t>ل الله يختلف باختلاف الأحوال، وأن</w:t>
      </w:r>
      <w:r w:rsidR="0024096B" w:rsidRPr="00C230D8">
        <w:rPr>
          <w:rFonts w:hint="cs"/>
          <w:sz w:val="38"/>
          <w:szCs w:val="38"/>
          <w:rtl/>
        </w:rPr>
        <w:t>ّ</w:t>
      </w:r>
      <w:r w:rsidR="000445B4" w:rsidRPr="00C230D8">
        <w:rPr>
          <w:rFonts w:hint="cs"/>
          <w:sz w:val="38"/>
          <w:szCs w:val="38"/>
          <w:rtl/>
        </w:rPr>
        <w:t xml:space="preserve"> ليس كل حكم بغير ما أنزل الله مخرج من الملة.</w:t>
      </w:r>
    </w:p>
    <w:p w:rsidR="00B8087F" w:rsidRPr="00C230D8" w:rsidRDefault="00F05209" w:rsidP="00F05209">
      <w:pPr>
        <w:numPr>
          <w:ilvl w:val="0"/>
          <w:numId w:val="4"/>
        </w:numPr>
        <w:jc w:val="lowKashida"/>
        <w:rPr>
          <w:sz w:val="38"/>
          <w:szCs w:val="38"/>
        </w:rPr>
      </w:pPr>
      <w:r>
        <w:rPr>
          <w:rFonts w:hint="cs"/>
          <w:sz w:val="38"/>
          <w:szCs w:val="38"/>
          <w:rtl/>
        </w:rPr>
        <w:t>نصّ علماء لاحنفية</w:t>
      </w:r>
      <w:r w:rsidR="006B3F00" w:rsidRPr="00C230D8">
        <w:rPr>
          <w:rFonts w:hint="cs"/>
          <w:sz w:val="38"/>
          <w:szCs w:val="38"/>
          <w:rtl/>
        </w:rPr>
        <w:t xml:space="preserve"> على وجوب احترام الصحابة وتوقيرهم، وعدم الطعن فيهم، ولا ذكرهم بسوء، </w:t>
      </w:r>
      <w:r>
        <w:rPr>
          <w:rFonts w:hint="cs"/>
          <w:sz w:val="38"/>
          <w:szCs w:val="38"/>
          <w:rtl/>
        </w:rPr>
        <w:t>وبيّنوا</w:t>
      </w:r>
      <w:r w:rsidR="006B3F00" w:rsidRPr="00C230D8">
        <w:rPr>
          <w:rFonts w:hint="cs"/>
          <w:sz w:val="38"/>
          <w:szCs w:val="38"/>
          <w:rtl/>
        </w:rPr>
        <w:t xml:space="preserve"> أن</w:t>
      </w:r>
      <w:r>
        <w:rPr>
          <w:rFonts w:hint="cs"/>
          <w:sz w:val="38"/>
          <w:szCs w:val="38"/>
          <w:rtl/>
        </w:rPr>
        <w:t>ّ</w:t>
      </w:r>
      <w:r w:rsidR="006B3F00" w:rsidRPr="00C230D8">
        <w:rPr>
          <w:rFonts w:hint="cs"/>
          <w:sz w:val="38"/>
          <w:szCs w:val="38"/>
          <w:rtl/>
        </w:rPr>
        <w:t xml:space="preserve"> الوقيعة فيهم من شأن أهل البدع من الخوارج والروافض وغيرهم.</w:t>
      </w:r>
    </w:p>
    <w:p w:rsidR="006B3F00" w:rsidRPr="00C230D8" w:rsidRDefault="006B3F00" w:rsidP="00177937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إن</w:t>
      </w:r>
      <w:r w:rsidR="0024096B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 علماء الحنفية قد أكّدوا أن عليّاً كان محق</w:t>
      </w:r>
      <w:r w:rsidR="0024096B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>ا</w:t>
      </w:r>
      <w:r w:rsidR="0024096B" w:rsidRPr="00C230D8">
        <w:rPr>
          <w:rFonts w:hint="cs"/>
          <w:sz w:val="38"/>
          <w:szCs w:val="38"/>
          <w:rtl/>
        </w:rPr>
        <w:t>ً</w:t>
      </w:r>
      <w:r w:rsidRPr="00C230D8">
        <w:rPr>
          <w:rFonts w:hint="cs"/>
          <w:sz w:val="38"/>
          <w:szCs w:val="38"/>
          <w:rtl/>
        </w:rPr>
        <w:t xml:space="preserve"> في قتال الخوارج، وأنه بذلك نال الأفضلية التي بي</w:t>
      </w:r>
      <w:r w:rsidR="00F05209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نها النبي </w:t>
      </w:r>
      <w:r w:rsidRPr="00C230D8">
        <w:rPr>
          <w:rFonts w:hint="cs"/>
          <w:sz w:val="38"/>
          <w:szCs w:val="38"/>
        </w:rPr>
        <w:sym w:font="AGA Arabesque" w:char="F072"/>
      </w:r>
      <w:r w:rsidRPr="00C230D8">
        <w:rPr>
          <w:rFonts w:hint="cs"/>
          <w:sz w:val="38"/>
          <w:szCs w:val="38"/>
          <w:rtl/>
        </w:rPr>
        <w:t>.</w:t>
      </w:r>
    </w:p>
    <w:p w:rsidR="006B3F00" w:rsidRPr="00C230D8" w:rsidRDefault="006B3F00" w:rsidP="00C011B1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إن</w:t>
      </w:r>
      <w:r w:rsidR="0024096B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 الخوارج كانوا مخطئين في قضية التحكيم، </w:t>
      </w:r>
      <w:r w:rsidR="00F05209">
        <w:rPr>
          <w:rFonts w:hint="cs"/>
          <w:sz w:val="38"/>
          <w:szCs w:val="38"/>
          <w:rtl/>
        </w:rPr>
        <w:t>وقد</w:t>
      </w:r>
      <w:r w:rsidRPr="00C230D8">
        <w:rPr>
          <w:rFonts w:hint="cs"/>
          <w:sz w:val="38"/>
          <w:szCs w:val="38"/>
          <w:rtl/>
        </w:rPr>
        <w:t xml:space="preserve"> بيّن لهم ابن عباس</w:t>
      </w:r>
      <w:r w:rsidR="00F05209">
        <w:rPr>
          <w:rFonts w:hint="cs"/>
          <w:sz w:val="38"/>
          <w:szCs w:val="38"/>
          <w:rtl/>
        </w:rPr>
        <w:t>ٍ</w:t>
      </w:r>
      <w:r w:rsidRPr="00C230D8">
        <w:rPr>
          <w:rFonts w:hint="cs"/>
          <w:sz w:val="38"/>
          <w:szCs w:val="38"/>
          <w:rtl/>
        </w:rPr>
        <w:t xml:space="preserve"> رضي الله عنهما أوجه الخطأ فيما ذه</w:t>
      </w:r>
      <w:r w:rsidR="00C011B1">
        <w:rPr>
          <w:rFonts w:hint="cs"/>
          <w:sz w:val="38"/>
          <w:szCs w:val="38"/>
          <w:rtl/>
        </w:rPr>
        <w:t>بوا إليه، ومع ذلك أصرّ بعضهم على قولهم</w:t>
      </w:r>
      <w:r w:rsidRPr="00C230D8">
        <w:rPr>
          <w:rFonts w:hint="cs"/>
          <w:sz w:val="38"/>
          <w:szCs w:val="38"/>
          <w:rtl/>
        </w:rPr>
        <w:t>.</w:t>
      </w:r>
    </w:p>
    <w:p w:rsidR="006B3F00" w:rsidRPr="00C230D8" w:rsidRDefault="006B3F00" w:rsidP="00177937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lastRenderedPageBreak/>
        <w:t xml:space="preserve">كما أوضح علماء الحنفية أنه </w:t>
      </w:r>
      <w:r w:rsidR="0024096B" w:rsidRPr="00C230D8">
        <w:rPr>
          <w:rFonts w:hint="cs"/>
          <w:sz w:val="38"/>
          <w:szCs w:val="38"/>
          <w:rtl/>
        </w:rPr>
        <w:t>-</w:t>
      </w:r>
      <w:r w:rsidRPr="00C230D8">
        <w:rPr>
          <w:rFonts w:hint="cs"/>
          <w:sz w:val="38"/>
          <w:szCs w:val="38"/>
          <w:rtl/>
        </w:rPr>
        <w:t xml:space="preserve">واستدلالا على فعل عليٍّ وابن عباس </w:t>
      </w:r>
      <w:r w:rsidRPr="00C230D8">
        <w:rPr>
          <w:rFonts w:hint="cs"/>
          <w:sz w:val="38"/>
          <w:szCs w:val="38"/>
        </w:rPr>
        <w:sym w:font="AGA Arabesque" w:char="F079"/>
      </w:r>
      <w:r w:rsidR="0024096B" w:rsidRPr="00C230D8">
        <w:rPr>
          <w:rFonts w:hint="cs"/>
          <w:sz w:val="38"/>
          <w:szCs w:val="38"/>
          <w:rtl/>
        </w:rPr>
        <w:t>-</w:t>
      </w:r>
      <w:r w:rsidRPr="00C230D8">
        <w:rPr>
          <w:rFonts w:hint="cs"/>
          <w:sz w:val="38"/>
          <w:szCs w:val="38"/>
          <w:rtl/>
        </w:rPr>
        <w:t>، يُستحسن مناصحة الخوارج والبغاة، وإزالة شبهاتهم التي تعقلوا بها، ونصح</w:t>
      </w:r>
      <w:r w:rsidR="0024096B" w:rsidRPr="00C230D8">
        <w:rPr>
          <w:rFonts w:hint="cs"/>
          <w:sz w:val="38"/>
          <w:szCs w:val="38"/>
          <w:rtl/>
        </w:rPr>
        <w:t>ُ</w:t>
      </w:r>
      <w:r w:rsidRPr="00C230D8">
        <w:rPr>
          <w:rFonts w:hint="cs"/>
          <w:sz w:val="38"/>
          <w:szCs w:val="38"/>
          <w:rtl/>
        </w:rPr>
        <w:t>هم بالتي هي أحسن، ودعوتهم للرجوع إلى الحق.</w:t>
      </w:r>
    </w:p>
    <w:p w:rsidR="006B3F00" w:rsidRPr="00C230D8" w:rsidRDefault="006B3F00" w:rsidP="00177937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الخوارج عطّلوا الله عن صفاته -الواردة في الكتاب والسن</w:t>
      </w:r>
      <w:r w:rsidR="0024096B" w:rsidRPr="00C230D8">
        <w:rPr>
          <w:rFonts w:hint="cs"/>
          <w:sz w:val="38"/>
          <w:szCs w:val="38"/>
          <w:rtl/>
        </w:rPr>
        <w:t xml:space="preserve">ة-، </w:t>
      </w:r>
      <w:r w:rsidR="00C011B1">
        <w:rPr>
          <w:rFonts w:hint="cs"/>
          <w:sz w:val="38"/>
          <w:szCs w:val="38"/>
          <w:rtl/>
        </w:rPr>
        <w:t>و</w:t>
      </w:r>
      <w:r w:rsidRPr="00C230D8">
        <w:rPr>
          <w:rFonts w:hint="cs"/>
          <w:sz w:val="38"/>
          <w:szCs w:val="38"/>
          <w:rtl/>
        </w:rPr>
        <w:t>منها: إنكارههم رؤية الله يوم القيامة، وكذلك قولهم بخلق القرآن.</w:t>
      </w:r>
    </w:p>
    <w:p w:rsidR="00481B5E" w:rsidRPr="00C230D8" w:rsidRDefault="00481B5E" w:rsidP="00177937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إنكارهم للسنة النبوي</w:t>
      </w:r>
      <w:r w:rsidR="00360206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>ة، حيث إن</w:t>
      </w:r>
      <w:r w:rsidR="00360206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 بعضهم أنكروا السّنة</w:t>
      </w:r>
      <w:r w:rsidR="00360206" w:rsidRPr="00C230D8">
        <w:rPr>
          <w:rFonts w:hint="cs"/>
          <w:sz w:val="38"/>
          <w:szCs w:val="38"/>
          <w:rtl/>
        </w:rPr>
        <w:t xml:space="preserve"> النبوية جملة وتفصيلا، بينما الآخرون منهم</w:t>
      </w:r>
      <w:r w:rsidRPr="00C230D8">
        <w:rPr>
          <w:rFonts w:hint="cs"/>
          <w:sz w:val="38"/>
          <w:szCs w:val="38"/>
          <w:rtl/>
        </w:rPr>
        <w:t xml:space="preserve"> أنكروا حج</w:t>
      </w:r>
      <w:r w:rsidR="00360206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>ي</w:t>
      </w:r>
      <w:r w:rsidR="00360206" w:rsidRPr="00C230D8">
        <w:rPr>
          <w:rFonts w:hint="cs"/>
          <w:sz w:val="38"/>
          <w:szCs w:val="38"/>
          <w:rtl/>
        </w:rPr>
        <w:t>ّ</w:t>
      </w:r>
      <w:r w:rsidRPr="00C230D8">
        <w:rPr>
          <w:rFonts w:hint="cs"/>
          <w:sz w:val="38"/>
          <w:szCs w:val="38"/>
          <w:rtl/>
        </w:rPr>
        <w:t xml:space="preserve">ة </w:t>
      </w:r>
      <w:r w:rsidR="0024096B" w:rsidRPr="00C230D8">
        <w:rPr>
          <w:rFonts w:hint="cs"/>
          <w:sz w:val="38"/>
          <w:szCs w:val="38"/>
          <w:rtl/>
        </w:rPr>
        <w:t>أ</w:t>
      </w:r>
      <w:r w:rsidRPr="00C230D8">
        <w:rPr>
          <w:rFonts w:hint="cs"/>
          <w:sz w:val="38"/>
          <w:szCs w:val="38"/>
          <w:rtl/>
        </w:rPr>
        <w:t>خب</w:t>
      </w:r>
      <w:r w:rsidR="0024096B" w:rsidRPr="00C230D8">
        <w:rPr>
          <w:rFonts w:hint="cs"/>
          <w:sz w:val="38"/>
          <w:szCs w:val="38"/>
          <w:rtl/>
        </w:rPr>
        <w:t>ا</w:t>
      </w:r>
      <w:r w:rsidRPr="00C230D8">
        <w:rPr>
          <w:rFonts w:hint="cs"/>
          <w:sz w:val="38"/>
          <w:szCs w:val="38"/>
          <w:rtl/>
        </w:rPr>
        <w:t>ر الآحاد في العقائد.</w:t>
      </w:r>
    </w:p>
    <w:p w:rsidR="00D25BB0" w:rsidRPr="00C230D8" w:rsidRDefault="00D25BB0" w:rsidP="00177937">
      <w:pPr>
        <w:numPr>
          <w:ilvl w:val="0"/>
          <w:numId w:val="4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إنكارهم بعض أحكام الدّين، ومنها:</w:t>
      </w:r>
    </w:p>
    <w:p w:rsidR="00D25BB0" w:rsidRPr="00C230D8" w:rsidRDefault="00C011B1" w:rsidP="00D25BB0">
      <w:pPr>
        <w:numPr>
          <w:ilvl w:val="0"/>
          <w:numId w:val="5"/>
        </w:numPr>
        <w:jc w:val="lowKashida"/>
        <w:rPr>
          <w:sz w:val="38"/>
          <w:szCs w:val="38"/>
        </w:rPr>
      </w:pPr>
      <w:r>
        <w:rPr>
          <w:rFonts w:hint="cs"/>
          <w:sz w:val="38"/>
          <w:szCs w:val="38"/>
          <w:rtl/>
        </w:rPr>
        <w:t>إنكارهم ح</w:t>
      </w:r>
      <w:r w:rsidR="00D25BB0" w:rsidRPr="00C230D8">
        <w:rPr>
          <w:rFonts w:hint="cs"/>
          <w:sz w:val="38"/>
          <w:szCs w:val="38"/>
          <w:rtl/>
        </w:rPr>
        <w:t>وض</w:t>
      </w:r>
      <w:r>
        <w:rPr>
          <w:rFonts w:hint="cs"/>
          <w:sz w:val="38"/>
          <w:szCs w:val="38"/>
          <w:rtl/>
        </w:rPr>
        <w:t>َ</w:t>
      </w:r>
      <w:r w:rsidR="00D25BB0" w:rsidRPr="00C230D8">
        <w:rPr>
          <w:rFonts w:hint="cs"/>
          <w:sz w:val="38"/>
          <w:szCs w:val="38"/>
          <w:rtl/>
        </w:rPr>
        <w:t xml:space="preserve"> النبي </w:t>
      </w:r>
      <w:r w:rsidR="00D25BB0" w:rsidRPr="00C230D8">
        <w:rPr>
          <w:rFonts w:hint="cs"/>
          <w:sz w:val="38"/>
          <w:szCs w:val="38"/>
        </w:rPr>
        <w:sym w:font="AGA Arabesque" w:char="F072"/>
      </w:r>
      <w:r w:rsidR="00D25BB0" w:rsidRPr="00C230D8">
        <w:rPr>
          <w:rFonts w:hint="cs"/>
          <w:sz w:val="38"/>
          <w:szCs w:val="38"/>
          <w:rtl/>
        </w:rPr>
        <w:t>.</w:t>
      </w:r>
    </w:p>
    <w:p w:rsidR="00D25BB0" w:rsidRPr="00C230D8" w:rsidRDefault="00D25BB0" w:rsidP="00D25BB0">
      <w:pPr>
        <w:numPr>
          <w:ilvl w:val="0"/>
          <w:numId w:val="5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إنكارهم الرجم</w:t>
      </w:r>
      <w:r w:rsidR="00D93134" w:rsidRPr="00C230D8">
        <w:rPr>
          <w:rFonts w:hint="cs"/>
          <w:sz w:val="38"/>
          <w:szCs w:val="38"/>
          <w:rtl/>
        </w:rPr>
        <w:t>َ</w:t>
      </w:r>
      <w:r w:rsidRPr="00C230D8">
        <w:rPr>
          <w:rFonts w:hint="cs"/>
          <w:sz w:val="38"/>
          <w:szCs w:val="38"/>
          <w:rtl/>
        </w:rPr>
        <w:t xml:space="preserve"> في المحصن الزاني.</w:t>
      </w:r>
    </w:p>
    <w:p w:rsidR="00D25BB0" w:rsidRPr="00C230D8" w:rsidRDefault="00D25BB0" w:rsidP="00D25BB0">
      <w:pPr>
        <w:numPr>
          <w:ilvl w:val="0"/>
          <w:numId w:val="5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إنكارهم شفاع</w:t>
      </w:r>
      <w:r w:rsidR="00D93134" w:rsidRPr="00C230D8">
        <w:rPr>
          <w:rFonts w:hint="cs"/>
          <w:sz w:val="38"/>
          <w:szCs w:val="38"/>
          <w:rtl/>
        </w:rPr>
        <w:t>َ</w:t>
      </w:r>
      <w:r w:rsidRPr="00C230D8">
        <w:rPr>
          <w:rFonts w:hint="cs"/>
          <w:sz w:val="38"/>
          <w:szCs w:val="38"/>
          <w:rtl/>
        </w:rPr>
        <w:t xml:space="preserve">ة النبي </w:t>
      </w:r>
      <w:r w:rsidRPr="00C230D8">
        <w:rPr>
          <w:rFonts w:hint="cs"/>
          <w:sz w:val="38"/>
          <w:szCs w:val="38"/>
        </w:rPr>
        <w:sym w:font="AGA Arabesque" w:char="F072"/>
      </w:r>
      <w:r w:rsidRPr="00C230D8">
        <w:rPr>
          <w:rFonts w:hint="cs"/>
          <w:sz w:val="38"/>
          <w:szCs w:val="38"/>
          <w:rtl/>
        </w:rPr>
        <w:t xml:space="preserve"> في العصاة يوم القيامة.</w:t>
      </w:r>
    </w:p>
    <w:p w:rsidR="00D25BB0" w:rsidRPr="00C230D8" w:rsidRDefault="00D25BB0" w:rsidP="00D25BB0">
      <w:pPr>
        <w:numPr>
          <w:ilvl w:val="0"/>
          <w:numId w:val="5"/>
        </w:num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إنكارهم المسح</w:t>
      </w:r>
      <w:r w:rsidR="00D93134" w:rsidRPr="00C230D8">
        <w:rPr>
          <w:rFonts w:hint="cs"/>
          <w:sz w:val="38"/>
          <w:szCs w:val="38"/>
          <w:rtl/>
        </w:rPr>
        <w:t>َ</w:t>
      </w:r>
      <w:r w:rsidRPr="00C230D8">
        <w:rPr>
          <w:rFonts w:hint="cs"/>
          <w:sz w:val="38"/>
          <w:szCs w:val="38"/>
          <w:rtl/>
        </w:rPr>
        <w:t xml:space="preserve"> على الخفين.</w:t>
      </w:r>
    </w:p>
    <w:p w:rsidR="00D25BB0" w:rsidRPr="00C230D8" w:rsidRDefault="00D25BB0" w:rsidP="00D25BB0">
      <w:pPr>
        <w:ind w:left="1174" w:firstLine="0"/>
        <w:jc w:val="lowKashida"/>
        <w:rPr>
          <w:sz w:val="38"/>
          <w:szCs w:val="38"/>
          <w:rtl/>
        </w:rPr>
      </w:pPr>
      <w:r w:rsidRPr="00C230D8">
        <w:rPr>
          <w:rFonts w:hint="cs"/>
          <w:sz w:val="38"/>
          <w:szCs w:val="38"/>
          <w:rtl/>
        </w:rPr>
        <w:t xml:space="preserve">وغير ذلك من </w:t>
      </w:r>
      <w:r w:rsidR="00C011B1">
        <w:rPr>
          <w:rFonts w:hint="cs"/>
          <w:sz w:val="38"/>
          <w:szCs w:val="38"/>
          <w:rtl/>
        </w:rPr>
        <w:t>الأحكام التي ردّوها، عناداً منهم</w:t>
      </w:r>
      <w:r w:rsidRPr="00C230D8">
        <w:rPr>
          <w:rFonts w:hint="cs"/>
          <w:sz w:val="38"/>
          <w:szCs w:val="38"/>
          <w:rtl/>
        </w:rPr>
        <w:t xml:space="preserve"> وتكبّرا</w:t>
      </w:r>
      <w:r w:rsidR="00C011B1">
        <w:rPr>
          <w:rFonts w:hint="cs"/>
          <w:sz w:val="38"/>
          <w:szCs w:val="38"/>
          <w:rtl/>
        </w:rPr>
        <w:t>ً</w:t>
      </w:r>
      <w:r w:rsidRPr="00C230D8">
        <w:rPr>
          <w:rFonts w:hint="cs"/>
          <w:sz w:val="38"/>
          <w:szCs w:val="38"/>
          <w:rtl/>
        </w:rPr>
        <w:t>.</w:t>
      </w:r>
    </w:p>
    <w:p w:rsidR="00D25BB0" w:rsidRPr="00C230D8" w:rsidRDefault="00D25BB0" w:rsidP="00D25BB0">
      <w:pPr>
        <w:jc w:val="lowKashida"/>
        <w:rPr>
          <w:sz w:val="38"/>
          <w:szCs w:val="38"/>
          <w:rtl/>
        </w:rPr>
      </w:pPr>
      <w:r w:rsidRPr="00C230D8">
        <w:rPr>
          <w:rFonts w:hint="cs"/>
          <w:sz w:val="38"/>
          <w:szCs w:val="38"/>
          <w:rtl/>
        </w:rPr>
        <w:t>هذه بعض النتائج التي توصّلت إليها من خلال قراءتي للبحث</w:t>
      </w:r>
      <w:r w:rsidR="00D93134" w:rsidRPr="00C230D8">
        <w:rPr>
          <w:rFonts w:hint="cs"/>
          <w:sz w:val="38"/>
          <w:szCs w:val="38"/>
          <w:rtl/>
        </w:rPr>
        <w:t>.</w:t>
      </w:r>
    </w:p>
    <w:p w:rsidR="00D93134" w:rsidRPr="00C230D8" w:rsidRDefault="00D93134" w:rsidP="00D25BB0">
      <w:pPr>
        <w:jc w:val="lowKashida"/>
        <w:rPr>
          <w:sz w:val="38"/>
          <w:szCs w:val="38"/>
        </w:rPr>
      </w:pPr>
      <w:r w:rsidRPr="00C230D8">
        <w:rPr>
          <w:rFonts w:hint="cs"/>
          <w:sz w:val="38"/>
          <w:szCs w:val="38"/>
          <w:rtl/>
        </w:rPr>
        <w:t>وصلّى الله وسلّم على نبيّنا وحبيبنا محمد صلّى الله عليه وعلى آله وصحبه، وسلّم تسليماً كثيرا</w:t>
      </w:r>
      <w:r w:rsidR="00056854">
        <w:rPr>
          <w:rFonts w:hint="cs"/>
          <w:sz w:val="38"/>
          <w:szCs w:val="38"/>
          <w:rtl/>
        </w:rPr>
        <w:t>ً</w:t>
      </w:r>
      <w:r w:rsidRPr="00C230D8">
        <w:rPr>
          <w:rFonts w:hint="cs"/>
          <w:sz w:val="38"/>
          <w:szCs w:val="38"/>
          <w:rtl/>
        </w:rPr>
        <w:t xml:space="preserve"> إلى يوم الدِّين.</w:t>
      </w:r>
    </w:p>
    <w:p w:rsidR="00307285" w:rsidRPr="00C230D8" w:rsidRDefault="00307285" w:rsidP="00673CD7">
      <w:pPr>
        <w:jc w:val="lowKashida"/>
        <w:rPr>
          <w:sz w:val="38"/>
          <w:szCs w:val="38"/>
        </w:rPr>
      </w:pPr>
    </w:p>
    <w:p w:rsidR="00AB6DC4" w:rsidRPr="00C230D8" w:rsidRDefault="00AB6DC4" w:rsidP="00AB6DC4">
      <w:pPr>
        <w:jc w:val="lowKashida"/>
        <w:rPr>
          <w:sz w:val="38"/>
          <w:szCs w:val="38"/>
          <w:rtl/>
        </w:rPr>
      </w:pPr>
    </w:p>
    <w:p w:rsidR="00B40B77" w:rsidRPr="00C230D8" w:rsidRDefault="00B40B77" w:rsidP="00B40B77">
      <w:pPr>
        <w:jc w:val="lowKashida"/>
        <w:rPr>
          <w:sz w:val="38"/>
          <w:szCs w:val="38"/>
          <w:rtl/>
        </w:rPr>
      </w:pPr>
      <w:r w:rsidRPr="00C230D8">
        <w:rPr>
          <w:rFonts w:hint="cs"/>
          <w:sz w:val="38"/>
          <w:szCs w:val="38"/>
          <w:rtl/>
        </w:rPr>
        <w:t xml:space="preserve"> </w:t>
      </w:r>
    </w:p>
    <w:p w:rsidR="00C5563F" w:rsidRPr="00C230D8" w:rsidRDefault="00C5563F">
      <w:pPr>
        <w:rPr>
          <w:sz w:val="38"/>
          <w:szCs w:val="38"/>
        </w:rPr>
      </w:pPr>
    </w:p>
    <w:sectPr w:rsidR="00C5563F" w:rsidRPr="00C230D8" w:rsidSect="00BE3945">
      <w:headerReference w:type="default" r:id="rId8"/>
      <w:footerReference w:type="default" r:id="rId9"/>
      <w:pgSz w:w="11906" w:h="16838"/>
      <w:pgMar w:top="1701" w:right="1985" w:bottom="1701" w:left="1985" w:header="709" w:footer="709" w:gutter="567"/>
      <w:pgNumType w:start="745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94D" w:rsidRDefault="00F6594D" w:rsidP="002E4D6F">
      <w:r>
        <w:separator/>
      </w:r>
    </w:p>
  </w:endnote>
  <w:endnote w:type="continuationSeparator" w:id="0">
    <w:p w:rsidR="00F6594D" w:rsidRDefault="00F6594D" w:rsidP="002E4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AA9" w:rsidRDefault="00D67AA9">
    <w:pPr>
      <w:pStyle w:val="afc"/>
      <w:jc w:val="center"/>
    </w:pPr>
    <w:r>
      <w:fldChar w:fldCharType="begin"/>
    </w:r>
    <w:r>
      <w:instrText>PAGE   \* MERGEFORMAT</w:instrText>
    </w:r>
    <w:r>
      <w:fldChar w:fldCharType="separate"/>
    </w:r>
    <w:r w:rsidR="00BE3945" w:rsidRPr="00BE3945">
      <w:rPr>
        <w:noProof/>
        <w:rtl/>
        <w:lang w:val="ar-SA"/>
      </w:rPr>
      <w:t>745</w:t>
    </w:r>
    <w:r>
      <w:fldChar w:fldCharType="end"/>
    </w:r>
  </w:p>
  <w:p w:rsidR="00D67AA9" w:rsidRDefault="00D67AA9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94D" w:rsidRDefault="00F6594D" w:rsidP="002E4D6F">
      <w:r>
        <w:separator/>
      </w:r>
    </w:p>
  </w:footnote>
  <w:footnote w:type="continuationSeparator" w:id="0">
    <w:p w:rsidR="00F6594D" w:rsidRDefault="00F6594D" w:rsidP="002E4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D6F" w:rsidRPr="002E4D6F" w:rsidRDefault="002E4D6F" w:rsidP="002E4D6F">
    <w:pPr>
      <w:pStyle w:val="a8"/>
      <w:pBdr>
        <w:bottom w:val="thickThinSmallGap" w:sz="24" w:space="1" w:color="622423"/>
      </w:pBdr>
      <w:jc w:val="center"/>
      <w:rPr>
        <w:rFonts w:ascii="Cambria" w:hAnsi="Cambria" w:cs="Times New Roman"/>
        <w:sz w:val="32"/>
        <w:szCs w:val="32"/>
      </w:rPr>
    </w:pPr>
    <w:r>
      <w:rPr>
        <w:rFonts w:ascii="Cambria" w:hAnsi="Cambria" w:cs="Times New Roman" w:hint="cs"/>
        <w:color w:val="auto"/>
        <w:sz w:val="32"/>
        <w:szCs w:val="32"/>
        <w:rtl/>
      </w:rPr>
      <w:t>جهود علماء الحنفية في الرد على الخوارج...............................الخاتمة</w:t>
    </w:r>
  </w:p>
  <w:p w:rsidR="002E4D6F" w:rsidRDefault="002E4D6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ADD3AC7"/>
    <w:multiLevelType w:val="hybridMultilevel"/>
    <w:tmpl w:val="612A0DFE"/>
    <w:lvl w:ilvl="0" w:tplc="04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5D624E54"/>
    <w:multiLevelType w:val="hybridMultilevel"/>
    <w:tmpl w:val="46C09E7A"/>
    <w:lvl w:ilvl="0" w:tplc="04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>
    <w:nsid w:val="6E895155"/>
    <w:multiLevelType w:val="hybridMultilevel"/>
    <w:tmpl w:val="75049A0E"/>
    <w:lvl w:ilvl="0" w:tplc="F1366A18">
      <w:numFmt w:val="bullet"/>
      <w:lvlText w:val="-"/>
      <w:lvlJc w:val="left"/>
      <w:pPr>
        <w:ind w:left="1534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2D8D"/>
    <w:rsid w:val="00031B5A"/>
    <w:rsid w:val="000445B4"/>
    <w:rsid w:val="00051AF1"/>
    <w:rsid w:val="00056854"/>
    <w:rsid w:val="00075B92"/>
    <w:rsid w:val="000762B5"/>
    <w:rsid w:val="000A20F5"/>
    <w:rsid w:val="000D235E"/>
    <w:rsid w:val="000D3518"/>
    <w:rsid w:val="000D6D04"/>
    <w:rsid w:val="000F66E4"/>
    <w:rsid w:val="000F7C7B"/>
    <w:rsid w:val="00114BAE"/>
    <w:rsid w:val="001509B8"/>
    <w:rsid w:val="001565A6"/>
    <w:rsid w:val="001768DC"/>
    <w:rsid w:val="00177937"/>
    <w:rsid w:val="00182410"/>
    <w:rsid w:val="001A016F"/>
    <w:rsid w:val="001A760D"/>
    <w:rsid w:val="001B3220"/>
    <w:rsid w:val="001E2D8D"/>
    <w:rsid w:val="001E6F52"/>
    <w:rsid w:val="001F245E"/>
    <w:rsid w:val="00211079"/>
    <w:rsid w:val="0024096B"/>
    <w:rsid w:val="00247F6A"/>
    <w:rsid w:val="00277915"/>
    <w:rsid w:val="00286936"/>
    <w:rsid w:val="002C46BD"/>
    <w:rsid w:val="002D191C"/>
    <w:rsid w:val="002E099D"/>
    <w:rsid w:val="002E4D6F"/>
    <w:rsid w:val="002F13C7"/>
    <w:rsid w:val="002F18C7"/>
    <w:rsid w:val="00305526"/>
    <w:rsid w:val="00307285"/>
    <w:rsid w:val="00333CC3"/>
    <w:rsid w:val="00336EC0"/>
    <w:rsid w:val="00343DE6"/>
    <w:rsid w:val="00360206"/>
    <w:rsid w:val="003633A5"/>
    <w:rsid w:val="003C471B"/>
    <w:rsid w:val="003D44DB"/>
    <w:rsid w:val="003D7B61"/>
    <w:rsid w:val="00404B9B"/>
    <w:rsid w:val="00427E8A"/>
    <w:rsid w:val="004445F8"/>
    <w:rsid w:val="004575F0"/>
    <w:rsid w:val="00460AD5"/>
    <w:rsid w:val="00481B5E"/>
    <w:rsid w:val="004C59AA"/>
    <w:rsid w:val="004C6965"/>
    <w:rsid w:val="004C6CB7"/>
    <w:rsid w:val="004D3368"/>
    <w:rsid w:val="004F7DDF"/>
    <w:rsid w:val="00504CE7"/>
    <w:rsid w:val="00515DE8"/>
    <w:rsid w:val="00516AA6"/>
    <w:rsid w:val="005271BE"/>
    <w:rsid w:val="00534763"/>
    <w:rsid w:val="005610F6"/>
    <w:rsid w:val="00563C88"/>
    <w:rsid w:val="005B614C"/>
    <w:rsid w:val="005C7D9D"/>
    <w:rsid w:val="00637F7B"/>
    <w:rsid w:val="00673CD7"/>
    <w:rsid w:val="00674A7D"/>
    <w:rsid w:val="0068140D"/>
    <w:rsid w:val="0068596A"/>
    <w:rsid w:val="006B3F00"/>
    <w:rsid w:val="006B7E0D"/>
    <w:rsid w:val="006C34E6"/>
    <w:rsid w:val="006D53C0"/>
    <w:rsid w:val="006E6B72"/>
    <w:rsid w:val="006E6BA2"/>
    <w:rsid w:val="006F4CA7"/>
    <w:rsid w:val="00705EEC"/>
    <w:rsid w:val="00720448"/>
    <w:rsid w:val="0073622B"/>
    <w:rsid w:val="007772A5"/>
    <w:rsid w:val="00777673"/>
    <w:rsid w:val="00784A95"/>
    <w:rsid w:val="007915F9"/>
    <w:rsid w:val="007B5D2B"/>
    <w:rsid w:val="007C2024"/>
    <w:rsid w:val="007C427C"/>
    <w:rsid w:val="008254B9"/>
    <w:rsid w:val="008452E1"/>
    <w:rsid w:val="00857439"/>
    <w:rsid w:val="00860FFD"/>
    <w:rsid w:val="008737C7"/>
    <w:rsid w:val="00875E98"/>
    <w:rsid w:val="008E10A2"/>
    <w:rsid w:val="008E6CD4"/>
    <w:rsid w:val="0090200F"/>
    <w:rsid w:val="0094181C"/>
    <w:rsid w:val="0096468E"/>
    <w:rsid w:val="0098465D"/>
    <w:rsid w:val="00987373"/>
    <w:rsid w:val="00991E40"/>
    <w:rsid w:val="009A7ACE"/>
    <w:rsid w:val="009B682D"/>
    <w:rsid w:val="009B7238"/>
    <w:rsid w:val="009C2389"/>
    <w:rsid w:val="009C468D"/>
    <w:rsid w:val="009C74D9"/>
    <w:rsid w:val="009E64E4"/>
    <w:rsid w:val="009F415B"/>
    <w:rsid w:val="00A1120E"/>
    <w:rsid w:val="00A44C74"/>
    <w:rsid w:val="00A85834"/>
    <w:rsid w:val="00A95037"/>
    <w:rsid w:val="00AB6DC4"/>
    <w:rsid w:val="00AC1BBA"/>
    <w:rsid w:val="00AF0D57"/>
    <w:rsid w:val="00B2710B"/>
    <w:rsid w:val="00B338A3"/>
    <w:rsid w:val="00B40B77"/>
    <w:rsid w:val="00B432B8"/>
    <w:rsid w:val="00B46D49"/>
    <w:rsid w:val="00B52C02"/>
    <w:rsid w:val="00B664AD"/>
    <w:rsid w:val="00B8087F"/>
    <w:rsid w:val="00BB1525"/>
    <w:rsid w:val="00BE3945"/>
    <w:rsid w:val="00C011B1"/>
    <w:rsid w:val="00C01829"/>
    <w:rsid w:val="00C05612"/>
    <w:rsid w:val="00C126BD"/>
    <w:rsid w:val="00C230D8"/>
    <w:rsid w:val="00C3112E"/>
    <w:rsid w:val="00C50993"/>
    <w:rsid w:val="00C509D8"/>
    <w:rsid w:val="00C5563F"/>
    <w:rsid w:val="00C70A1C"/>
    <w:rsid w:val="00C90B2E"/>
    <w:rsid w:val="00CE1E3E"/>
    <w:rsid w:val="00CF7260"/>
    <w:rsid w:val="00D12AC6"/>
    <w:rsid w:val="00D25BB0"/>
    <w:rsid w:val="00D404E6"/>
    <w:rsid w:val="00D4090B"/>
    <w:rsid w:val="00D67AA9"/>
    <w:rsid w:val="00D703FB"/>
    <w:rsid w:val="00D93134"/>
    <w:rsid w:val="00DD45CD"/>
    <w:rsid w:val="00E0315B"/>
    <w:rsid w:val="00E076FB"/>
    <w:rsid w:val="00E11D81"/>
    <w:rsid w:val="00E143F7"/>
    <w:rsid w:val="00E35BCD"/>
    <w:rsid w:val="00E40ACF"/>
    <w:rsid w:val="00E4752B"/>
    <w:rsid w:val="00E517C5"/>
    <w:rsid w:val="00E711F2"/>
    <w:rsid w:val="00E95FE3"/>
    <w:rsid w:val="00E97567"/>
    <w:rsid w:val="00ED6969"/>
    <w:rsid w:val="00EE0FE9"/>
    <w:rsid w:val="00EE416D"/>
    <w:rsid w:val="00EF06DE"/>
    <w:rsid w:val="00F05209"/>
    <w:rsid w:val="00F13234"/>
    <w:rsid w:val="00F47757"/>
    <w:rsid w:val="00F6594D"/>
    <w:rsid w:val="00F70AF8"/>
    <w:rsid w:val="00F75BD4"/>
    <w:rsid w:val="00F97628"/>
    <w:rsid w:val="00FB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rsid w:val="00336EC0"/>
    <w:rPr>
      <w:sz w:val="16"/>
      <w:szCs w:val="16"/>
    </w:rPr>
  </w:style>
  <w:style w:type="character" w:styleId="ad">
    <w:name w:val="endnote reference"/>
    <w:rsid w:val="00336EC0"/>
    <w:rPr>
      <w:vertAlign w:val="superscript"/>
    </w:rPr>
  </w:style>
  <w:style w:type="character" w:styleId="ae">
    <w:name w:val="footnote reference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rsid w:val="004445F8"/>
    <w:rPr>
      <w:rFonts w:cs="Traditional Arabic"/>
      <w:szCs w:val="36"/>
    </w:rPr>
  </w:style>
  <w:style w:type="character" w:customStyle="1" w:styleId="af8">
    <w:name w:val="أثر"/>
    <w:rsid w:val="004445F8"/>
    <w:rPr>
      <w:rFonts w:cs="Traditional Arabic"/>
      <w:szCs w:val="36"/>
    </w:rPr>
  </w:style>
  <w:style w:type="character" w:customStyle="1" w:styleId="af9">
    <w:name w:val="مثل"/>
    <w:rsid w:val="004445F8"/>
    <w:rPr>
      <w:rFonts w:cs="Traditional Arabic"/>
      <w:szCs w:val="36"/>
    </w:rPr>
  </w:style>
  <w:style w:type="character" w:customStyle="1" w:styleId="afa">
    <w:name w:val="قول"/>
    <w:rsid w:val="004445F8"/>
    <w:rPr>
      <w:rFonts w:cs="Traditional Arabic"/>
      <w:szCs w:val="36"/>
    </w:rPr>
  </w:style>
  <w:style w:type="character" w:customStyle="1" w:styleId="afb">
    <w:name w:val="شعر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uiPriority w:val="99"/>
    <w:rsid w:val="002E4D6F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afc"/>
    <w:uiPriority w:val="99"/>
    <w:rsid w:val="002E4D6F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link w:val="a8"/>
    <w:uiPriority w:val="99"/>
    <w:rsid w:val="002E4D6F"/>
    <w:rPr>
      <w:rFonts w:cs="Traditional Arabic"/>
      <w:color w:val="0000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5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7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جهود علماء الحنفية في الرد على الخوارج...............................الخاتمة</vt:lpstr>
    </vt:vector>
  </TitlesOfParts>
  <Company/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جهود علماء الحنفية في الرد على الخوارج...............................الخاتمة</dc:title>
  <dc:subject/>
  <dc:creator>AL Mobatker</dc:creator>
  <cp:keywords/>
  <dc:description/>
  <cp:lastModifiedBy>AL Mobatker</cp:lastModifiedBy>
  <cp:revision>125</cp:revision>
  <cp:lastPrinted>2012-01-20T14:42:00Z</cp:lastPrinted>
  <dcterms:created xsi:type="dcterms:W3CDTF">2012-01-17T17:43:00Z</dcterms:created>
  <dcterms:modified xsi:type="dcterms:W3CDTF">2013-01-28T18:00:00Z</dcterms:modified>
</cp:coreProperties>
</file>